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B7323" w:rsidRPr="00FB732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“乾元—聚盈”开放式资产组合型人民币理财产品</w:t>
      </w:r>
      <w:r w:rsidR="00CC695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2020年度</w:t>
      </w:r>
      <w:r w:rsidR="00CC6956">
        <w:rPr>
          <w:rFonts w:asciiTheme="minorEastAsia" w:eastAsiaTheme="minorEastAsia" w:hAnsiTheme="minorEastAsia" w:hint="eastAsia"/>
          <w:b/>
          <w:sz w:val="32"/>
          <w:szCs w:val="32"/>
        </w:rPr>
        <w:t>三季度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FB7323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CC6956">
        <w:rPr>
          <w:rFonts w:asciiTheme="minorEastAsia" w:eastAsiaTheme="minorEastAsia" w:hAnsiTheme="minorEastAsia" w:hint="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47C96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B7323" w:rsidP="00FB732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“乾元—聚盈”开放式资产组合型人民币理财产品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2016年9月9日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CC6956" w:rsidRPr="00CC6956">
        <w:rPr>
          <w:rFonts w:asciiTheme="minorEastAsia" w:eastAsiaTheme="minorEastAsia" w:hAnsiTheme="minorEastAsia"/>
          <w:color w:val="000000"/>
          <w:sz w:val="28"/>
          <w:szCs w:val="28"/>
        </w:rPr>
        <w:t>914,251.48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="00A47C96">
        <w:rPr>
          <w:rFonts w:asciiTheme="minorEastAsia" w:eastAsiaTheme="minorEastAsia" w:hAnsiTheme="minorEastAsia" w:hint="eastAsia"/>
          <w:color w:val="000000"/>
          <w:sz w:val="28"/>
          <w:szCs w:val="28"/>
        </w:rPr>
        <w:t>自2020年1月1日-2020年5月19日，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p w:rsidR="00FB7323" w:rsidRPr="00FB7323" w:rsidRDefault="00FB7323" w:rsidP="00FB7323">
      <w:pPr>
        <w:ind w:firstLineChars="200" w:firstLine="36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B7323">
        <w:rPr>
          <w:rFonts w:asciiTheme="minorEastAsia" w:eastAsiaTheme="minorEastAsia" w:hAnsiTheme="minorEastAsia" w:hint="eastAsia"/>
          <w:color w:val="000000"/>
          <w:sz w:val="18"/>
          <w:szCs w:val="18"/>
        </w:rPr>
        <w:t>单位：天</w:t>
      </w:r>
    </w:p>
    <w:tbl>
      <w:tblPr>
        <w:tblW w:w="849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924"/>
        <w:gridCol w:w="1051"/>
        <w:gridCol w:w="988"/>
        <w:gridCol w:w="988"/>
        <w:gridCol w:w="1038"/>
        <w:gridCol w:w="1348"/>
        <w:gridCol w:w="1038"/>
      </w:tblGrid>
      <w:tr w:rsidR="00FB7323" w:rsidRPr="00FB7323" w:rsidTr="00572B33">
        <w:trPr>
          <w:trHeight w:val="473"/>
          <w:jc w:val="center"/>
        </w:trPr>
        <w:tc>
          <w:tcPr>
            <w:tcW w:w="1123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投资期</w:t>
            </w:r>
          </w:p>
        </w:tc>
        <w:tc>
          <w:tcPr>
            <w:tcW w:w="924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1≤T&lt;16</w:t>
            </w:r>
          </w:p>
        </w:tc>
        <w:tc>
          <w:tcPr>
            <w:tcW w:w="1051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16≤T&lt;32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32≤T&lt;62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62≤T&lt;92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23" w:rsidRPr="00FB7323" w:rsidRDefault="00FB7323" w:rsidP="00FB732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92≤T&lt;180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180≤T&lt;270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T≥270</w:t>
            </w:r>
          </w:p>
        </w:tc>
      </w:tr>
      <w:tr w:rsidR="00FB7323" w:rsidRPr="00FB7323" w:rsidTr="00572B33">
        <w:trPr>
          <w:trHeight w:val="778"/>
          <w:jc w:val="center"/>
        </w:trPr>
        <w:tc>
          <w:tcPr>
            <w:tcW w:w="1123" w:type="dxa"/>
            <w:vAlign w:val="bottom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投资者实际收益率</w:t>
            </w:r>
          </w:p>
        </w:tc>
        <w:tc>
          <w:tcPr>
            <w:tcW w:w="924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1051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2.7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3.00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3.20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3.30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3.50%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3.70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</w:tr>
    </w:tbl>
    <w:p w:rsidR="00FB7323" w:rsidRDefault="00FB7323" w:rsidP="00FB7323">
      <w:pPr>
        <w:spacing w:line="4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B7323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注： T为投资期 </w:t>
      </w:r>
    </w:p>
    <w:p w:rsidR="00A47C96" w:rsidRDefault="00A47C96" w:rsidP="00A47C9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自2020年5月20日</w:t>
      </w:r>
      <w:proofErr w:type="gramStart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至报告</w:t>
      </w:r>
      <w:proofErr w:type="gramEnd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期结束，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849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924"/>
        <w:gridCol w:w="1051"/>
        <w:gridCol w:w="988"/>
        <w:gridCol w:w="988"/>
        <w:gridCol w:w="1038"/>
        <w:gridCol w:w="1348"/>
        <w:gridCol w:w="1038"/>
      </w:tblGrid>
      <w:tr w:rsidR="00A47C96" w:rsidRPr="00FB7323" w:rsidTr="00A47C96">
        <w:trPr>
          <w:trHeight w:val="473"/>
          <w:jc w:val="center"/>
        </w:trPr>
        <w:tc>
          <w:tcPr>
            <w:tcW w:w="1123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投资期</w:t>
            </w:r>
          </w:p>
        </w:tc>
        <w:tc>
          <w:tcPr>
            <w:tcW w:w="924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1≤T&lt;16</w:t>
            </w:r>
          </w:p>
        </w:tc>
        <w:tc>
          <w:tcPr>
            <w:tcW w:w="1051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16≤T&lt;32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32≤T&lt;62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62≤T&lt;92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96" w:rsidRPr="00FB7323" w:rsidRDefault="00A47C96" w:rsidP="00A47C9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92≤T&lt;180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180≤T&lt;270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T≥270</w:t>
            </w:r>
          </w:p>
        </w:tc>
      </w:tr>
      <w:tr w:rsidR="00A47C96" w:rsidRPr="00FB7323" w:rsidTr="00A47C96">
        <w:trPr>
          <w:trHeight w:val="778"/>
          <w:jc w:val="center"/>
        </w:trPr>
        <w:tc>
          <w:tcPr>
            <w:tcW w:w="1123" w:type="dxa"/>
            <w:vAlign w:val="bottom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投资者实际收益率</w:t>
            </w:r>
          </w:p>
        </w:tc>
        <w:tc>
          <w:tcPr>
            <w:tcW w:w="924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51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2.8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</w:tr>
    </w:tbl>
    <w:p w:rsidR="00A47C96" w:rsidRPr="00A47C96" w:rsidRDefault="00A47C96" w:rsidP="00FB7323">
      <w:pPr>
        <w:spacing w:line="4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F0DB2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省分行</w:t>
            </w:r>
          </w:p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“乾元—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聚盈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”开放式资产组合型人民币理财产品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无固定期限</w:t>
            </w:r>
          </w:p>
          <w:p w:rsidR="00EF0DB2" w:rsidRPr="002C0D87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行有权提前终止产品。</w:t>
            </w:r>
          </w:p>
        </w:tc>
      </w:tr>
    </w:tbl>
    <w:p w:rsidR="00EF0DB2" w:rsidRP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理财产品管理人：中国建设银行浙江省分行</w:t>
      </w:r>
    </w:p>
    <w:p w:rsid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理财产品托管人：中国建设银行浙江省分行</w:t>
      </w:r>
    </w:p>
    <w:p w:rsidR="005204A8" w:rsidRDefault="005204A8" w:rsidP="00EF0DB2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20"/>
        <w:gridCol w:w="1740"/>
        <w:gridCol w:w="1418"/>
        <w:gridCol w:w="1842"/>
      </w:tblGrid>
      <w:tr w:rsidR="005204A8" w:rsidTr="00311E4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52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74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CC6956">
              <w:rPr>
                <w:rFonts w:ascii="宋体" w:hAnsi="宋体" w:cs="宋体"/>
                <w:kern w:val="0"/>
              </w:rPr>
              <w:t>167,991.81</w:t>
            </w:r>
          </w:p>
        </w:tc>
        <w:tc>
          <w:tcPr>
            <w:tcW w:w="1740" w:type="dxa"/>
            <w:vAlign w:val="center"/>
          </w:tcPr>
          <w:p w:rsidR="00CC6956" w:rsidRDefault="00CC6956" w:rsidP="008048A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11.74</w:t>
            </w: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CC6956">
              <w:rPr>
                <w:rFonts w:ascii="宋体" w:hAnsi="宋体" w:cs="宋体"/>
                <w:kern w:val="0"/>
              </w:rPr>
              <w:t>167,991.81</w:t>
            </w: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11.74</w:t>
            </w: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520" w:type="dxa"/>
            <w:vAlign w:val="center"/>
          </w:tcPr>
          <w:p w:rsidR="00CC6956" w:rsidRDefault="00CC6956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277649.89</w:t>
            </w:r>
          </w:p>
        </w:tc>
        <w:tc>
          <w:tcPr>
            <w:tcW w:w="1740" w:type="dxa"/>
            <w:vAlign w:val="center"/>
          </w:tcPr>
          <w:p w:rsidR="00CC6956" w:rsidRDefault="00CC6956" w:rsidP="003E6CD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19.40</w:t>
            </w: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277649.89</w:t>
            </w: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19.40</w:t>
            </w: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520" w:type="dxa"/>
            <w:vAlign w:val="center"/>
          </w:tcPr>
          <w:p w:rsidR="00CC6956" w:rsidRDefault="00CC6956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724845.36</w:t>
            </w: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50.65</w:t>
            </w: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724845.36</w:t>
            </w: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50.65</w:t>
            </w: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520" w:type="dxa"/>
            <w:vAlign w:val="center"/>
          </w:tcPr>
          <w:p w:rsidR="00CC6956" w:rsidRDefault="00CC6956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CC6956">
              <w:rPr>
                <w:rFonts w:ascii="宋体" w:hAnsi="宋体" w:cs="宋体"/>
                <w:kern w:val="0"/>
              </w:rPr>
              <w:t>260,698.88</w:t>
            </w: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18.22</w:t>
            </w: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CC6956">
              <w:rPr>
                <w:rFonts w:ascii="宋体" w:hAnsi="宋体" w:cs="宋体"/>
                <w:kern w:val="0"/>
              </w:rPr>
              <w:t>260,698.88</w:t>
            </w: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18.22</w:t>
            </w: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311E4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520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6956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CC6956" w:rsidRDefault="00CC6956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520" w:type="dxa"/>
            <w:vAlign w:val="center"/>
          </w:tcPr>
          <w:p w:rsidR="00CC6956" w:rsidRDefault="00CC6956" w:rsidP="008048AE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11E44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431185.93</w:t>
            </w:r>
          </w:p>
        </w:tc>
        <w:tc>
          <w:tcPr>
            <w:tcW w:w="1740" w:type="dxa"/>
            <w:vAlign w:val="center"/>
          </w:tcPr>
          <w:p w:rsidR="00CC6956" w:rsidRDefault="00CC695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CC6956" w:rsidRDefault="00CC6956" w:rsidP="00CC69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11E44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431185.93</w:t>
            </w:r>
          </w:p>
        </w:tc>
        <w:tc>
          <w:tcPr>
            <w:tcW w:w="1842" w:type="dxa"/>
            <w:vAlign w:val="center"/>
          </w:tcPr>
          <w:p w:rsidR="00CC6956" w:rsidRDefault="00CC6956" w:rsidP="00CC69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72B33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F541A1" w:rsidRPr="00796145" w:rsidRDefault="00B36E54" w:rsidP="00CC6956">
            <w:r w:rsidRPr="00B36E54">
              <w:rPr>
                <w:rFonts w:hint="eastAsia"/>
              </w:rPr>
              <w:t>浙江</w:t>
            </w:r>
            <w:r w:rsidRPr="00B36E54">
              <w:rPr>
                <w:rFonts w:hint="eastAsia"/>
              </w:rPr>
              <w:t>-</w:t>
            </w:r>
            <w:r w:rsidRPr="00B36E54">
              <w:rPr>
                <w:rFonts w:hint="eastAsia"/>
              </w:rPr>
              <w:t>建信天添益</w:t>
            </w:r>
            <w:r w:rsidRPr="00B36E54">
              <w:rPr>
                <w:rFonts w:hint="eastAsia"/>
              </w:rPr>
              <w:t>C</w:t>
            </w:r>
          </w:p>
        </w:tc>
        <w:tc>
          <w:tcPr>
            <w:tcW w:w="1841" w:type="dxa"/>
          </w:tcPr>
          <w:p w:rsidR="00F541A1" w:rsidRPr="00B36E54" w:rsidRDefault="00B36E54" w:rsidP="00CC69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1,000,000,000.00 </w:t>
            </w:r>
          </w:p>
        </w:tc>
        <w:tc>
          <w:tcPr>
            <w:tcW w:w="1859" w:type="dxa"/>
          </w:tcPr>
          <w:p w:rsidR="00F541A1" w:rsidRPr="00796145" w:rsidRDefault="00B36E54" w:rsidP="00CC6956">
            <w:r w:rsidRPr="00B36E54">
              <w:t>6.99%</w:t>
            </w:r>
          </w:p>
        </w:tc>
      </w:tr>
      <w:tr w:rsidR="00B36E5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</w:t>
            </w:r>
          </w:p>
        </w:tc>
        <w:tc>
          <w:tcPr>
            <w:tcW w:w="3969" w:type="dxa"/>
          </w:tcPr>
          <w:p w:rsidR="00B36E54" w:rsidRPr="00893783" w:rsidRDefault="00B36E54" w:rsidP="0088400E">
            <w:pPr>
              <w:rPr>
                <w:rFonts w:hint="eastAsia"/>
              </w:rPr>
            </w:pPr>
            <w:r w:rsidRPr="00893783">
              <w:rPr>
                <w:rFonts w:hint="eastAsia"/>
              </w:rPr>
              <w:t>浙江乌镇互联网特色小镇投资建设有限公司</w:t>
            </w:r>
          </w:p>
        </w:tc>
        <w:tc>
          <w:tcPr>
            <w:tcW w:w="1841" w:type="dxa"/>
          </w:tcPr>
          <w:p w:rsidR="00B36E54" w:rsidRPr="00FD13DA" w:rsidRDefault="00B36E54" w:rsidP="003F7102">
            <w:r w:rsidRPr="00FD13DA">
              <w:t xml:space="preserve"> 800,000,000.00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5.59%</w:t>
            </w:r>
          </w:p>
        </w:tc>
      </w:tr>
      <w:tr w:rsidR="00B36E5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B36E54" w:rsidRPr="00893783" w:rsidRDefault="00B36E54" w:rsidP="0088400E">
            <w:pPr>
              <w:rPr>
                <w:rFonts w:hint="eastAsia"/>
              </w:rPr>
            </w:pPr>
            <w:r w:rsidRPr="00893783">
              <w:rPr>
                <w:rFonts w:hint="eastAsia"/>
              </w:rPr>
              <w:t>浙江</w:t>
            </w:r>
            <w:r w:rsidRPr="00893783">
              <w:rPr>
                <w:rFonts w:hint="eastAsia"/>
              </w:rPr>
              <w:t>-</w:t>
            </w:r>
            <w:r w:rsidRPr="00893783">
              <w:rPr>
                <w:rFonts w:hint="eastAsia"/>
              </w:rPr>
              <w:t>易方</w:t>
            </w:r>
            <w:proofErr w:type="gramStart"/>
            <w:r w:rsidRPr="00893783">
              <w:rPr>
                <w:rFonts w:hint="eastAsia"/>
              </w:rPr>
              <w:t>达货币</w:t>
            </w:r>
            <w:proofErr w:type="gramEnd"/>
            <w:r w:rsidRPr="00893783">
              <w:rPr>
                <w:rFonts w:hint="eastAsia"/>
              </w:rPr>
              <w:t>B</w:t>
            </w:r>
          </w:p>
        </w:tc>
        <w:tc>
          <w:tcPr>
            <w:tcW w:w="1841" w:type="dxa"/>
          </w:tcPr>
          <w:p w:rsidR="00B36E54" w:rsidRPr="00FD13DA" w:rsidRDefault="00B36E54" w:rsidP="003F7102">
            <w:r w:rsidRPr="00FD13DA">
              <w:t xml:space="preserve"> 800,000,000.00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5.59%</w:t>
            </w:r>
          </w:p>
        </w:tc>
      </w:tr>
      <w:tr w:rsidR="00B36E5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B36E54" w:rsidRPr="00893783" w:rsidRDefault="00B36E54" w:rsidP="0088400E">
            <w:pPr>
              <w:rPr>
                <w:rFonts w:hint="eastAsia"/>
              </w:rPr>
            </w:pPr>
            <w:r w:rsidRPr="00893783">
              <w:rPr>
                <w:rFonts w:hint="eastAsia"/>
              </w:rPr>
              <w:t>中国农业银行股份有限公司</w:t>
            </w:r>
          </w:p>
        </w:tc>
        <w:tc>
          <w:tcPr>
            <w:tcW w:w="1841" w:type="dxa"/>
          </w:tcPr>
          <w:p w:rsidR="00B36E54" w:rsidRPr="00FD13DA" w:rsidRDefault="00B36E54" w:rsidP="003F7102">
            <w:r w:rsidRPr="00FD13DA">
              <w:t xml:space="preserve"> 700,000,000.00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4.89%</w:t>
            </w:r>
          </w:p>
        </w:tc>
      </w:tr>
      <w:tr w:rsidR="00B36E5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B36E54" w:rsidRPr="00893783" w:rsidRDefault="00B36E54" w:rsidP="0088400E">
            <w:pPr>
              <w:rPr>
                <w:rFonts w:hint="eastAsia"/>
              </w:rPr>
            </w:pPr>
            <w:r w:rsidRPr="00893783">
              <w:rPr>
                <w:rFonts w:hint="eastAsia"/>
              </w:rPr>
              <w:t>温州市</w:t>
            </w:r>
            <w:proofErr w:type="gramStart"/>
            <w:r w:rsidRPr="00893783">
              <w:rPr>
                <w:rFonts w:hint="eastAsia"/>
              </w:rPr>
              <w:t>瓯</w:t>
            </w:r>
            <w:proofErr w:type="gramEnd"/>
            <w:r w:rsidRPr="00893783">
              <w:rPr>
                <w:rFonts w:hint="eastAsia"/>
              </w:rPr>
              <w:t>海新城建设开发有限公司</w:t>
            </w:r>
          </w:p>
        </w:tc>
        <w:tc>
          <w:tcPr>
            <w:tcW w:w="1841" w:type="dxa"/>
          </w:tcPr>
          <w:p w:rsidR="00B36E54" w:rsidRPr="00FD13DA" w:rsidRDefault="00B36E54" w:rsidP="003F7102">
            <w:r w:rsidRPr="00FD13DA">
              <w:t xml:space="preserve"> 600,000,000.00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4.19%</w:t>
            </w:r>
          </w:p>
        </w:tc>
      </w:tr>
      <w:tr w:rsidR="00B36E5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B36E54" w:rsidRPr="00893783" w:rsidRDefault="00B36E54" w:rsidP="0088400E">
            <w:pPr>
              <w:rPr>
                <w:rFonts w:hint="eastAsia"/>
              </w:rPr>
            </w:pPr>
            <w:r w:rsidRPr="00893783">
              <w:rPr>
                <w:rFonts w:hint="eastAsia"/>
              </w:rPr>
              <w:t>武义县国有资产管理运营有限公司</w:t>
            </w:r>
          </w:p>
        </w:tc>
        <w:tc>
          <w:tcPr>
            <w:tcW w:w="1841" w:type="dxa"/>
          </w:tcPr>
          <w:p w:rsidR="00B36E54" w:rsidRPr="00FD13DA" w:rsidRDefault="00B36E54" w:rsidP="003F7102">
            <w:r w:rsidRPr="00FD13DA">
              <w:t xml:space="preserve"> 520,000,000.00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3.63%</w:t>
            </w:r>
          </w:p>
        </w:tc>
      </w:tr>
      <w:tr w:rsidR="00B36E5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B36E54" w:rsidRPr="00893783" w:rsidRDefault="00B36E54" w:rsidP="0088400E">
            <w:pPr>
              <w:rPr>
                <w:rFonts w:hint="eastAsia"/>
              </w:rPr>
            </w:pPr>
            <w:r w:rsidRPr="00893783">
              <w:rPr>
                <w:rFonts w:hint="eastAsia"/>
              </w:rPr>
              <w:t>乐清市国有投资有限公司</w:t>
            </w:r>
          </w:p>
        </w:tc>
        <w:tc>
          <w:tcPr>
            <w:tcW w:w="1841" w:type="dxa"/>
          </w:tcPr>
          <w:p w:rsidR="00B36E54" w:rsidRPr="00FD13DA" w:rsidRDefault="00B36E54" w:rsidP="003F7102">
            <w:r w:rsidRPr="00FD13DA">
              <w:t xml:space="preserve"> 500,000,000.00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3.49%</w:t>
            </w:r>
          </w:p>
        </w:tc>
      </w:tr>
      <w:tr w:rsidR="00B36E5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B36E54" w:rsidRPr="00893783" w:rsidRDefault="00B36E54" w:rsidP="0088400E">
            <w:pPr>
              <w:rPr>
                <w:rFonts w:hint="eastAsia"/>
              </w:rPr>
            </w:pPr>
            <w:r w:rsidRPr="00893783">
              <w:rPr>
                <w:rFonts w:hint="eastAsia"/>
              </w:rPr>
              <w:t>浙江</w:t>
            </w:r>
            <w:r w:rsidRPr="00893783">
              <w:rPr>
                <w:rFonts w:hint="eastAsia"/>
              </w:rPr>
              <w:t>-</w:t>
            </w:r>
            <w:r w:rsidRPr="00893783">
              <w:rPr>
                <w:rFonts w:hint="eastAsia"/>
              </w:rPr>
              <w:t>鹏华金元宝货币</w:t>
            </w:r>
            <w:r w:rsidRPr="00893783">
              <w:rPr>
                <w:rFonts w:hint="eastAsia"/>
              </w:rPr>
              <w:t>(004776)</w:t>
            </w:r>
          </w:p>
        </w:tc>
        <w:tc>
          <w:tcPr>
            <w:tcW w:w="1841" w:type="dxa"/>
          </w:tcPr>
          <w:p w:rsidR="00B36E54" w:rsidRPr="00FD13DA" w:rsidRDefault="00B36E54" w:rsidP="003F7102">
            <w:r w:rsidRPr="00FD13DA">
              <w:t xml:space="preserve"> 500,000,000.00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3.49%</w:t>
            </w:r>
          </w:p>
        </w:tc>
      </w:tr>
      <w:tr w:rsidR="00B36E54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B36E54" w:rsidRPr="00893783" w:rsidRDefault="00B36E54" w:rsidP="0088400E">
            <w:pPr>
              <w:rPr>
                <w:rFonts w:hint="eastAsia"/>
              </w:rPr>
            </w:pPr>
            <w:r w:rsidRPr="00893783">
              <w:rPr>
                <w:rFonts w:hint="eastAsia"/>
              </w:rPr>
              <w:t>上虞经济开发区投资开发有限公司</w:t>
            </w:r>
          </w:p>
        </w:tc>
        <w:tc>
          <w:tcPr>
            <w:tcW w:w="1841" w:type="dxa"/>
          </w:tcPr>
          <w:p w:rsidR="00B36E54" w:rsidRPr="00FD13DA" w:rsidRDefault="00B36E54" w:rsidP="003F7102">
            <w:r w:rsidRPr="00FD13DA">
              <w:t xml:space="preserve"> 432,114,573.01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3.02%</w:t>
            </w:r>
          </w:p>
        </w:tc>
      </w:tr>
      <w:tr w:rsidR="00B36E54" w:rsidRPr="00437C59" w:rsidTr="00572B33">
        <w:trPr>
          <w:trHeight w:val="561"/>
          <w:jc w:val="center"/>
        </w:trPr>
        <w:tc>
          <w:tcPr>
            <w:tcW w:w="1349" w:type="dxa"/>
            <w:vAlign w:val="center"/>
          </w:tcPr>
          <w:p w:rsidR="00B36E54" w:rsidRPr="00C720CE" w:rsidRDefault="00B36E54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B36E54" w:rsidRDefault="00B36E54" w:rsidP="0088400E">
            <w:r w:rsidRPr="00893783">
              <w:rPr>
                <w:rFonts w:hint="eastAsia"/>
              </w:rPr>
              <w:t>中国农业银行股份有限公司</w:t>
            </w:r>
          </w:p>
        </w:tc>
        <w:tc>
          <w:tcPr>
            <w:tcW w:w="1841" w:type="dxa"/>
          </w:tcPr>
          <w:p w:rsidR="00B36E54" w:rsidRDefault="00B36E54" w:rsidP="003F7102">
            <w:r w:rsidRPr="00FD13DA">
              <w:t xml:space="preserve"> 350,000,000.00 </w:t>
            </w:r>
          </w:p>
        </w:tc>
        <w:tc>
          <w:tcPr>
            <w:tcW w:w="1859" w:type="dxa"/>
          </w:tcPr>
          <w:p w:rsidR="00B36E54" w:rsidRPr="006944E5" w:rsidRDefault="00B36E54" w:rsidP="00325D0F">
            <w:r w:rsidRPr="006944E5">
              <w:t>2.45%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72B33">
        <w:tc>
          <w:tcPr>
            <w:tcW w:w="8522" w:type="dxa"/>
          </w:tcPr>
          <w:p w:rsidR="00576002" w:rsidRPr="00576002" w:rsidRDefault="00CF0298" w:rsidP="00CF0298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</w:t>
            </w:r>
            <w:proofErr w:type="gramStart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申赎时间</w:t>
            </w:r>
            <w:proofErr w:type="gramEnd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合理调整流动性资产配置，以满足产品的流动性资金需求，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可控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72B33">
        <w:tc>
          <w:tcPr>
            <w:tcW w:w="8522" w:type="dxa"/>
          </w:tcPr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我行作为</w:t>
            </w:r>
            <w:proofErr w:type="gramStart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“</w:t>
            </w:r>
            <w:proofErr w:type="gramEnd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中国建设银行浙江省分行“乾元-聚盈”（按日）开放式资产组合型人民币理财产品</w:t>
            </w:r>
            <w:proofErr w:type="gramStart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”</w:t>
            </w:r>
            <w:proofErr w:type="gramEnd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(简称“乾元-聚盈”理财产品)的托管人，依据相关规章的约定，履行托管人职责。现将2020年1月 1日至2020年</w:t>
            </w:r>
            <w:r w:rsidR="00B36E54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9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月3</w:t>
            </w:r>
            <w:r w:rsidR="00391BB6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0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日期间“乾元-聚盈”理财产品的托管情况报告如下。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一、报告期末“乾元-聚盈” 理财产品资产分布形态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报告期末资产分布形态分布为活期存款、同业存款、债券资产、货币基金及高收益资产等，期末资产规模 为 </w:t>
            </w:r>
            <w:r w:rsidR="006E5EA4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914251.48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万元。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lastRenderedPageBreak/>
              <w:t>二、报告期“乾元-聚盈” 理财产品开展投资情况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期间累计投资债券资产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1</w:t>
            </w:r>
            <w:r w:rsidR="006E5EA4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5.9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2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亿元，货币基金</w:t>
            </w:r>
            <w:r w:rsidR="006E5EA4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54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.17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亿元，高收益资产 </w:t>
            </w:r>
            <w:r w:rsidR="006E5EA4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81.81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亿元。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三、报告期“乾元-聚盈”理财产品承担费用的情况 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期间支付托管费</w:t>
            </w:r>
            <w:r w:rsidR="006E5EA4" w:rsidRPr="006E5EA4">
              <w:rPr>
                <w:rFonts w:ascii="彩虹粗仿宋" w:eastAsia="彩虹粗仿宋"/>
                <w:color w:val="000000"/>
                <w:sz w:val="28"/>
                <w:szCs w:val="28"/>
              </w:rPr>
              <w:t>3935259.66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元，支付销售费用</w:t>
            </w:r>
            <w:r w:rsidR="006E5EA4" w:rsidRPr="006E5EA4">
              <w:rPr>
                <w:rFonts w:ascii="彩虹粗仿宋" w:eastAsia="彩虹粗仿宋"/>
                <w:color w:val="000000"/>
                <w:sz w:val="28"/>
                <w:szCs w:val="28"/>
              </w:rPr>
              <w:t>23611557.98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元。支付管理费</w:t>
            </w:r>
            <w:r w:rsidR="006E5EA4" w:rsidRPr="006E5EA4">
              <w:rPr>
                <w:rFonts w:ascii="彩虹粗仿宋" w:eastAsia="彩虹粗仿宋"/>
                <w:color w:val="000000"/>
                <w:sz w:val="28"/>
                <w:szCs w:val="28"/>
              </w:rPr>
              <w:t>150577370.62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四、报告期产品设立机构履行受托职责的情况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产品设立机构在对理财产品财产受托过程中，严格遵守《中华人民共和国商业银行法》等国家法律法规及其他相关规定，诚实信用、勤勉尽责地履行了受托人职责。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五、报告期托管服务提供部门履行托管职责的情况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托管分中心在对理财产品财产托管过程中，严格遵守《中华人民共和国商业银行法》等国家法律法规及其他相关规定，诚实信用、勤勉尽责地履行了托管人职责，不存在任何违反法律法规、理财产品文件损害本理财产品投资者利益的行为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六、报告期发生的“乾元-聚盈”理财产品相关的其他重大事项：无</w:t>
            </w:r>
          </w:p>
          <w:p w:rsidR="005204A8" w:rsidRPr="00D73589" w:rsidRDefault="00E03A0F" w:rsidP="00E03A0F">
            <w:pPr>
              <w:spacing w:line="360" w:lineRule="auto"/>
              <w:ind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以上情况，特此报告。</w:t>
            </w:r>
          </w:p>
        </w:tc>
      </w:tr>
    </w:tbl>
    <w:p w:rsidR="00CF0298" w:rsidRDefault="00CF0298" w:rsidP="00CF029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七、投资账户信息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CF0298" w:rsidP="004935F0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3B5CC6" w:rsidRDefault="00005F25" w:rsidP="007B54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RPr="00005F25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7B5435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54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60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572B33">
        <w:tc>
          <w:tcPr>
            <w:tcW w:w="8522" w:type="dxa"/>
          </w:tcPr>
          <w:p w:rsidR="003B5CC6" w:rsidRDefault="004159F3" w:rsidP="00572B33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</w:t>
            </w:r>
          </w:p>
        </w:tc>
      </w:tr>
    </w:tbl>
    <w:p w:rsidR="003B5CC6" w:rsidRPr="00E028E0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9A5DB2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</w:t>
      </w:r>
      <w:r w:rsid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基本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正常运营，</w:t>
      </w:r>
      <w:r w:rsidR="009A5DB2" w:rsidRP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个别项目未能正常完全还本付息，但不影响按预期收益兑付客户。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0808AD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D87989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1A72F7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65D61" w:rsidP="005204A8">
      <w:pPr>
        <w:jc w:val="center"/>
        <w:rPr>
          <w:b/>
          <w:color w:val="000000"/>
          <w:sz w:val="24"/>
          <w:szCs w:val="24"/>
        </w:rPr>
      </w:pPr>
      <w:r w:rsidRPr="00665D61">
        <w:rPr>
          <w:rFonts w:hint="eastAsia"/>
          <w:b/>
          <w:color w:val="000000"/>
          <w:sz w:val="24"/>
          <w:szCs w:val="24"/>
        </w:rPr>
        <w:t>“乾元—聚盈”开放式资产组合型人民币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65D61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D8798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391BB6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5422F" w:rsidRPr="0025422F">
        <w:rPr>
          <w:rFonts w:ascii="宋体" w:hAnsi="宋体" w:hint="eastAsia"/>
          <w:color w:val="000000"/>
          <w:szCs w:val="21"/>
        </w:rPr>
        <w:t>“乾元—聚盈”开放式资产组合型人民币</w:t>
      </w:r>
      <w:r>
        <w:rPr>
          <w:rFonts w:ascii="宋体" w:hAnsi="宋体" w:hint="eastAsia"/>
          <w:color w:val="000000"/>
          <w:szCs w:val="21"/>
        </w:rPr>
        <w:t>理财产品投资非标准化债权</w:t>
      </w:r>
      <w:r w:rsidR="00AB47C5">
        <w:rPr>
          <w:rFonts w:ascii="宋体" w:hAnsi="宋体" w:hint="eastAsia"/>
          <w:color w:val="000000"/>
          <w:szCs w:val="21"/>
        </w:rPr>
        <w:t>及股权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53" w:type="pct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70"/>
        <w:gridCol w:w="1560"/>
        <w:gridCol w:w="753"/>
        <w:gridCol w:w="944"/>
      </w:tblGrid>
      <w:tr w:rsidR="00CF0298" w:rsidTr="00197C1C">
        <w:trPr>
          <w:trHeight w:val="765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D87989" w:rsidP="00D879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D87989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D87989" w:rsidP="00D879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温州高新技术产业开发区投资建设开发有限公司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17</w:t>
            </w:r>
            <w:proofErr w:type="gramStart"/>
            <w:r w:rsidRPr="00C23EFA">
              <w:rPr>
                <w:rFonts w:hint="eastAsia"/>
              </w:rPr>
              <w:t>浙高新</w:t>
            </w:r>
            <w:proofErr w:type="gramEnd"/>
            <w:r w:rsidRPr="00C23EFA">
              <w:rPr>
                <w:rFonts w:hint="eastAsia"/>
              </w:rPr>
              <w:t>公司</w:t>
            </w:r>
            <w:r w:rsidRPr="00C23EFA">
              <w:rPr>
                <w:rFonts w:hint="eastAsia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2485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浙江乌镇互联网特色小镇投资建设有限公司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16</w:t>
            </w:r>
            <w:r w:rsidRPr="00C23EFA">
              <w:rPr>
                <w:rFonts w:hint="eastAsia"/>
              </w:rPr>
              <w:t>浙桐乡</w:t>
            </w:r>
            <w:r w:rsidRPr="00C23EFA">
              <w:rPr>
                <w:rFonts w:hint="eastAsia"/>
              </w:rPr>
              <w:t>OB003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1114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建德市城市建设发展投资有限公司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17</w:t>
            </w:r>
            <w:r w:rsidRPr="00C23EFA">
              <w:rPr>
                <w:rFonts w:hint="eastAsia"/>
              </w:rPr>
              <w:t>浙建德城投</w:t>
            </w:r>
            <w:r w:rsidRPr="00C23EFA">
              <w:rPr>
                <w:rFonts w:hint="eastAsia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1129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温州市洞头城市发展有限公司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17</w:t>
            </w:r>
            <w:r w:rsidRPr="00C23EFA">
              <w:rPr>
                <w:rFonts w:hint="eastAsia"/>
              </w:rPr>
              <w:t>浙温州洞头</w:t>
            </w:r>
            <w:r w:rsidRPr="00C23EFA">
              <w:rPr>
                <w:rFonts w:hint="eastAsia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1112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乐清市国有投资有限公司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18</w:t>
            </w:r>
            <w:r w:rsidRPr="00C23EFA">
              <w:rPr>
                <w:rFonts w:hint="eastAsia"/>
              </w:rPr>
              <w:t>浙乐清国投</w:t>
            </w:r>
            <w:r w:rsidRPr="00C23EFA">
              <w:rPr>
                <w:rFonts w:hint="eastAsia"/>
              </w:rPr>
              <w:t>OB001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2631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桐乡市乌镇互联网产业园投资开发有限公司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17</w:t>
            </w:r>
            <w:r w:rsidRPr="00C23EFA">
              <w:rPr>
                <w:rFonts w:hint="eastAsia"/>
              </w:rPr>
              <w:t>浙桐乡</w:t>
            </w:r>
            <w:r w:rsidRPr="00C23EFA">
              <w:rPr>
                <w:rFonts w:hint="eastAsia"/>
              </w:rPr>
              <w:t>OB002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961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永嘉投资集团有限公司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17</w:t>
            </w:r>
            <w:r w:rsidRPr="00C23EFA">
              <w:rPr>
                <w:rFonts w:hint="eastAsia"/>
              </w:rPr>
              <w:t>浙</w:t>
            </w:r>
            <w:proofErr w:type="gramStart"/>
            <w:r w:rsidRPr="00C23EFA">
              <w:rPr>
                <w:rFonts w:hint="eastAsia"/>
              </w:rPr>
              <w:t>温州永投</w:t>
            </w:r>
            <w:proofErr w:type="gramEnd"/>
            <w:r w:rsidRPr="00C23EFA">
              <w:rPr>
                <w:rFonts w:hint="eastAsia"/>
              </w:rPr>
              <w:t>EB001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2527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乐清市国有投资有限公司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18</w:t>
            </w:r>
            <w:r w:rsidRPr="00C23EFA">
              <w:rPr>
                <w:rFonts w:hint="eastAsia"/>
              </w:rPr>
              <w:t>浙乐清国投</w:t>
            </w:r>
            <w:r w:rsidRPr="00C23EFA">
              <w:rPr>
                <w:rFonts w:hint="eastAsia"/>
              </w:rPr>
              <w:t>OB002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2631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嘉善县国有资产投资有限公司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17</w:t>
            </w:r>
            <w:r w:rsidRPr="00C23EFA">
              <w:rPr>
                <w:rFonts w:hint="eastAsia"/>
              </w:rPr>
              <w:t>浙嘉善国资</w:t>
            </w:r>
            <w:r w:rsidRPr="00C23EFA">
              <w:rPr>
                <w:rFonts w:hint="eastAsia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1222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桐乡市乌镇互联网产业园投资开发有限公司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16</w:t>
            </w:r>
            <w:r w:rsidRPr="00C23EFA">
              <w:rPr>
                <w:rFonts w:hint="eastAsia"/>
              </w:rPr>
              <w:t>浙桐乡</w:t>
            </w:r>
            <w:r w:rsidRPr="00C23EFA">
              <w:rPr>
                <w:rFonts w:hint="eastAsia"/>
              </w:rPr>
              <w:t>OB002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 xml:space="preserve">961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海宁市盐官景区综合开发有限公司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19</w:t>
            </w:r>
            <w:r w:rsidRPr="00C23EFA">
              <w:rPr>
                <w:rFonts w:hint="eastAsia"/>
              </w:rPr>
              <w:t>浙海宁盐官</w:t>
            </w:r>
            <w:r w:rsidRPr="00C23EFA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989" w:rsidRPr="00C23EFA" w:rsidRDefault="00D87989" w:rsidP="00B91EEA">
            <w:pPr>
              <w:rPr>
                <w:rFonts w:hint="eastAsia"/>
              </w:rPr>
            </w:pPr>
            <w:r w:rsidRPr="00C23EFA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7989" w:rsidRDefault="00D87989" w:rsidP="00B91EEA">
            <w:r w:rsidRPr="00C23EFA">
              <w:rPr>
                <w:rFonts w:hint="eastAsia"/>
              </w:rPr>
              <w:t xml:space="preserve">25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浙温州城投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364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桐乡市金源股权投资管理有限公司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浙桐乡金源</w:t>
            </w:r>
            <w:r>
              <w:rPr>
                <w:rFonts w:hint="eastAsia"/>
                <w:sz w:val="20"/>
                <w:szCs w:val="20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1454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建德市城市建设发展投资有限公司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浙建德城投</w:t>
            </w:r>
            <w:r>
              <w:rPr>
                <w:rFonts w:hint="eastAsia"/>
                <w:sz w:val="20"/>
                <w:szCs w:val="20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1129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建德市城市建设发展投资有限公司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浙建德城投</w:t>
            </w:r>
            <w:r>
              <w:rPr>
                <w:rFonts w:hint="eastAsia"/>
                <w:sz w:val="20"/>
                <w:szCs w:val="20"/>
              </w:rPr>
              <w:t>EI002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1129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桐乡市金源股权投资管理有限公司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浙桐乡金源</w:t>
            </w:r>
            <w:r>
              <w:rPr>
                <w:rFonts w:hint="eastAsia"/>
                <w:sz w:val="20"/>
                <w:szCs w:val="20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1454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浙江武义城市建设有限公司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浙武义城建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桐乡市水</w:t>
            </w:r>
            <w:proofErr w:type="gramStart"/>
            <w:r>
              <w:rPr>
                <w:rFonts w:hint="eastAsia"/>
                <w:sz w:val="20"/>
                <w:szCs w:val="20"/>
              </w:rPr>
              <w:t>务</w:t>
            </w:r>
            <w:proofErr w:type="gramEnd"/>
            <w:r>
              <w:rPr>
                <w:rFonts w:hint="eastAsia"/>
                <w:sz w:val="20"/>
                <w:szCs w:val="20"/>
              </w:rPr>
              <w:t>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浙桐乡水</w:t>
            </w:r>
            <w:proofErr w:type="gramStart"/>
            <w:r>
              <w:rPr>
                <w:rFonts w:hint="eastAsia"/>
                <w:sz w:val="20"/>
                <w:szCs w:val="20"/>
              </w:rPr>
              <w:t>务</w:t>
            </w:r>
            <w:proofErr w:type="gramEnd"/>
            <w:r>
              <w:rPr>
                <w:rFonts w:hint="eastAsia"/>
                <w:sz w:val="20"/>
                <w:szCs w:val="20"/>
              </w:rPr>
              <w:t>EF001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1586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舟山群岛新区金融投资有限公司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</w:t>
            </w:r>
            <w:proofErr w:type="gramStart"/>
            <w:r>
              <w:rPr>
                <w:rFonts w:hint="eastAsia"/>
                <w:sz w:val="20"/>
                <w:szCs w:val="20"/>
              </w:rPr>
              <w:t>舟山金投</w:t>
            </w:r>
            <w:proofErr w:type="gramEnd"/>
            <w:r>
              <w:rPr>
                <w:rFonts w:hint="eastAsia"/>
                <w:sz w:val="20"/>
                <w:szCs w:val="20"/>
              </w:rPr>
              <w:t>EF001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771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温州生态园开发建设投资集团有限公司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浙温州生态园</w:t>
            </w:r>
            <w:r>
              <w:rPr>
                <w:rFonts w:hint="eastAsia"/>
                <w:sz w:val="20"/>
                <w:szCs w:val="20"/>
              </w:rPr>
              <w:t>EB002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2463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浙江乌镇互联网特色小镇投资建设有限公司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浙桐乡</w:t>
            </w:r>
            <w:r>
              <w:rPr>
                <w:rFonts w:hint="eastAsia"/>
                <w:sz w:val="20"/>
                <w:szCs w:val="20"/>
              </w:rPr>
              <w:t>OB001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1114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温州市</w:t>
            </w:r>
            <w:proofErr w:type="gramStart"/>
            <w:r>
              <w:rPr>
                <w:rFonts w:hint="eastAsia"/>
                <w:sz w:val="20"/>
                <w:szCs w:val="20"/>
              </w:rPr>
              <w:t>瓯</w:t>
            </w:r>
            <w:proofErr w:type="gramEnd"/>
            <w:r>
              <w:rPr>
                <w:rFonts w:hint="eastAsia"/>
                <w:sz w:val="20"/>
                <w:szCs w:val="20"/>
              </w:rPr>
              <w:t>海新城建设开发有限公司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浙温</w:t>
            </w:r>
            <w:proofErr w:type="gramStart"/>
            <w:r>
              <w:rPr>
                <w:rFonts w:hint="eastAsia"/>
                <w:sz w:val="20"/>
                <w:szCs w:val="20"/>
              </w:rPr>
              <w:t>瓯</w:t>
            </w:r>
            <w:proofErr w:type="gramEnd"/>
            <w:r>
              <w:rPr>
                <w:rFonts w:hint="eastAsia"/>
                <w:sz w:val="20"/>
                <w:szCs w:val="20"/>
              </w:rPr>
              <w:t>海新城</w:t>
            </w:r>
            <w:r>
              <w:rPr>
                <w:rFonts w:hint="eastAsia"/>
                <w:sz w:val="20"/>
                <w:szCs w:val="20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2604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平湖市曹桥街道村镇建设开发有限责任公司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</w:t>
            </w:r>
            <w:proofErr w:type="gramStart"/>
            <w:r>
              <w:rPr>
                <w:rFonts w:hint="eastAsia"/>
                <w:sz w:val="20"/>
                <w:szCs w:val="20"/>
              </w:rPr>
              <w:t>平湖曹桥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1892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绍兴柯桥经济开发区开发投资有限公司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浙柯桥经开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临海市交通投资集团有限公司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proofErr w:type="gramStart"/>
            <w:r>
              <w:rPr>
                <w:rFonts w:hint="eastAsia"/>
                <w:sz w:val="20"/>
                <w:szCs w:val="20"/>
              </w:rPr>
              <w:t>浙台临海</w:t>
            </w:r>
            <w:proofErr w:type="gramEnd"/>
            <w:r>
              <w:rPr>
                <w:rFonts w:hint="eastAsia"/>
                <w:sz w:val="20"/>
                <w:szCs w:val="20"/>
              </w:rPr>
              <w:t>交投</w:t>
            </w:r>
            <w:r>
              <w:rPr>
                <w:rFonts w:hint="eastAsia"/>
                <w:sz w:val="20"/>
                <w:szCs w:val="20"/>
              </w:rPr>
              <w:t>EB001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浦江县低丘缓坡开发有限公司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浙浦江低丘</w:t>
            </w:r>
            <w:r>
              <w:rPr>
                <w:rFonts w:hint="eastAsia"/>
                <w:sz w:val="20"/>
                <w:szCs w:val="20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2328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嘉兴湘</w:t>
            </w:r>
            <w:proofErr w:type="gramStart"/>
            <w:r>
              <w:rPr>
                <w:rFonts w:hint="eastAsia"/>
                <w:sz w:val="20"/>
                <w:szCs w:val="20"/>
              </w:rPr>
              <w:t>家荡投资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proofErr w:type="gramStart"/>
            <w:r>
              <w:rPr>
                <w:rFonts w:hint="eastAsia"/>
                <w:sz w:val="20"/>
                <w:szCs w:val="20"/>
              </w:rPr>
              <w:t>浙湘家荡投资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台州循环经济发展有限公司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proofErr w:type="gramStart"/>
            <w:r>
              <w:rPr>
                <w:rFonts w:hint="eastAsia"/>
                <w:sz w:val="20"/>
                <w:szCs w:val="20"/>
              </w:rPr>
              <w:t>浙台循环</w:t>
            </w:r>
            <w:proofErr w:type="gramEnd"/>
            <w:r>
              <w:rPr>
                <w:rFonts w:hint="eastAsia"/>
                <w:sz w:val="20"/>
                <w:szCs w:val="20"/>
              </w:rPr>
              <w:t>OB002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347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中天控股集团有限公司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浙中天控股</w:t>
            </w:r>
            <w:r>
              <w:rPr>
                <w:rFonts w:hint="eastAsia"/>
                <w:sz w:val="20"/>
                <w:szCs w:val="20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武义县国有资产管理运营有限公司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浙武义国资</w:t>
            </w:r>
            <w:r>
              <w:rPr>
                <w:rFonts w:hint="eastAsia"/>
                <w:sz w:val="20"/>
                <w:szCs w:val="20"/>
              </w:rPr>
              <w:t>EI001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2680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上虞经济开发区投资开发有限公司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浙上虞经开</w:t>
            </w:r>
            <w:r>
              <w:rPr>
                <w:rFonts w:hint="eastAsia"/>
                <w:sz w:val="20"/>
                <w:szCs w:val="20"/>
              </w:rPr>
              <w:t>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2550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上虞经济开发区投资开发有限公司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浙上虞经开</w:t>
            </w:r>
            <w:r>
              <w:rPr>
                <w:rFonts w:hint="eastAsia"/>
                <w:sz w:val="20"/>
                <w:szCs w:val="20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2550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杭州临江投资发展有限公司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proofErr w:type="gramStart"/>
            <w:r>
              <w:rPr>
                <w:rFonts w:hint="eastAsia"/>
                <w:sz w:val="20"/>
                <w:szCs w:val="20"/>
              </w:rPr>
              <w:t>浙杭临江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德清联创科技新城建设有限公司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浙德清联创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1508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浙江武义城市建设有限公司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浙武义城建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CC6956">
            <w:r w:rsidRPr="00DF3A1C">
              <w:rPr>
                <w:rFonts w:hint="eastAsia"/>
              </w:rPr>
              <w:t>正常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铁牛集团有限公司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proofErr w:type="gramStart"/>
            <w:r>
              <w:rPr>
                <w:rFonts w:hint="eastAsia"/>
                <w:sz w:val="20"/>
                <w:szCs w:val="20"/>
              </w:rPr>
              <w:t>浙金铁牛</w:t>
            </w:r>
            <w:proofErr w:type="gramEnd"/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81608D">
            <w:r w:rsidRPr="00DF3A1C">
              <w:rPr>
                <w:rFonts w:hint="eastAsia"/>
              </w:rPr>
              <w:t>资产及利息均已逾期超过</w:t>
            </w:r>
            <w:r w:rsidRPr="00DF3A1C">
              <w:rPr>
                <w:rFonts w:hint="eastAsia"/>
              </w:rPr>
              <w:t>90</w:t>
            </w:r>
            <w:r w:rsidRPr="00DF3A1C">
              <w:rPr>
                <w:rFonts w:hint="eastAsia"/>
              </w:rPr>
              <w:t>天，不影响产品正常兑付。</w:t>
            </w:r>
          </w:p>
        </w:tc>
      </w:tr>
      <w:tr w:rsidR="00D87989" w:rsidTr="002500EA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东阳长城影视传媒有限公司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浙东阳长城</w:t>
            </w:r>
            <w:r>
              <w:rPr>
                <w:rFonts w:hint="eastAsia"/>
                <w:sz w:val="20"/>
                <w:szCs w:val="20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989" w:rsidRDefault="00D8798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989" w:rsidRDefault="00D8798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989" w:rsidRPr="00DF3A1C" w:rsidRDefault="00D87989" w:rsidP="0081608D">
            <w:r w:rsidRPr="00DF3A1C">
              <w:rPr>
                <w:rFonts w:hint="eastAsia"/>
              </w:rPr>
              <w:t>资产及利息均</w:t>
            </w:r>
            <w:r w:rsidRPr="00DF3A1C">
              <w:rPr>
                <w:rFonts w:hint="eastAsia"/>
              </w:rPr>
              <w:lastRenderedPageBreak/>
              <w:t>已逾期超过</w:t>
            </w:r>
            <w:r w:rsidRPr="00DF3A1C">
              <w:rPr>
                <w:rFonts w:hint="eastAsia"/>
              </w:rPr>
              <w:t>90</w:t>
            </w:r>
            <w:r w:rsidRPr="00DF3A1C">
              <w:rPr>
                <w:rFonts w:hint="eastAsia"/>
              </w:rPr>
              <w:t>天，不影响产品正常兑付。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lastRenderedPageBreak/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  <w:r w:rsidR="00CF0298">
        <w:rPr>
          <w:rFonts w:ascii="宋体" w:hAnsi="宋体" w:hint="eastAsia"/>
          <w:color w:val="000000"/>
          <w:szCs w:val="21"/>
        </w:rPr>
        <w:t>其他资产均为正常状态。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D9" w:rsidRDefault="003820D9" w:rsidP="00747E15">
      <w:r>
        <w:separator/>
      </w:r>
    </w:p>
  </w:endnote>
  <w:endnote w:type="continuationSeparator" w:id="0">
    <w:p w:rsidR="003820D9" w:rsidRDefault="003820D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D9" w:rsidRDefault="003820D9" w:rsidP="00747E15">
      <w:r>
        <w:separator/>
      </w:r>
    </w:p>
  </w:footnote>
  <w:footnote w:type="continuationSeparator" w:id="0">
    <w:p w:rsidR="003820D9" w:rsidRDefault="003820D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5F25"/>
    <w:rsid w:val="00026C30"/>
    <w:rsid w:val="00034EB1"/>
    <w:rsid w:val="00041CF5"/>
    <w:rsid w:val="0004473E"/>
    <w:rsid w:val="00050B6D"/>
    <w:rsid w:val="00063A00"/>
    <w:rsid w:val="00064987"/>
    <w:rsid w:val="000808AD"/>
    <w:rsid w:val="000A58C0"/>
    <w:rsid w:val="000A7A07"/>
    <w:rsid w:val="000B2257"/>
    <w:rsid w:val="000B6D04"/>
    <w:rsid w:val="000C33A9"/>
    <w:rsid w:val="000F4ED6"/>
    <w:rsid w:val="000F5E7E"/>
    <w:rsid w:val="00106270"/>
    <w:rsid w:val="00113702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64FB"/>
    <w:rsid w:val="00194B35"/>
    <w:rsid w:val="00195CFF"/>
    <w:rsid w:val="00197C1C"/>
    <w:rsid w:val="001A1254"/>
    <w:rsid w:val="001A1F0C"/>
    <w:rsid w:val="001A204D"/>
    <w:rsid w:val="001A72F7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5422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132D"/>
    <w:rsid w:val="002F02E2"/>
    <w:rsid w:val="002F21B2"/>
    <w:rsid w:val="002F6AD5"/>
    <w:rsid w:val="00305DE3"/>
    <w:rsid w:val="00311E44"/>
    <w:rsid w:val="00316E7D"/>
    <w:rsid w:val="00326849"/>
    <w:rsid w:val="00332886"/>
    <w:rsid w:val="00333409"/>
    <w:rsid w:val="003469B0"/>
    <w:rsid w:val="00346C2E"/>
    <w:rsid w:val="003729DF"/>
    <w:rsid w:val="00373677"/>
    <w:rsid w:val="003815E0"/>
    <w:rsid w:val="003820D9"/>
    <w:rsid w:val="0038711B"/>
    <w:rsid w:val="00391BB6"/>
    <w:rsid w:val="0039500D"/>
    <w:rsid w:val="003A24B2"/>
    <w:rsid w:val="003B5CC6"/>
    <w:rsid w:val="003D3F6C"/>
    <w:rsid w:val="003E0232"/>
    <w:rsid w:val="003E1F2F"/>
    <w:rsid w:val="003E4D8B"/>
    <w:rsid w:val="003E6CDF"/>
    <w:rsid w:val="00404027"/>
    <w:rsid w:val="004118B6"/>
    <w:rsid w:val="004159F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35F0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6CB2"/>
    <w:rsid w:val="004F3EA9"/>
    <w:rsid w:val="005204A8"/>
    <w:rsid w:val="00532CB2"/>
    <w:rsid w:val="00553503"/>
    <w:rsid w:val="00556FF5"/>
    <w:rsid w:val="00572B33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5D61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E5EA4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7323D"/>
    <w:rsid w:val="007812E4"/>
    <w:rsid w:val="00783ADA"/>
    <w:rsid w:val="00784FEC"/>
    <w:rsid w:val="00790C96"/>
    <w:rsid w:val="0079146A"/>
    <w:rsid w:val="007931FF"/>
    <w:rsid w:val="00796986"/>
    <w:rsid w:val="007A0A0E"/>
    <w:rsid w:val="007A2D9F"/>
    <w:rsid w:val="007A7935"/>
    <w:rsid w:val="007B1DC7"/>
    <w:rsid w:val="007B2D94"/>
    <w:rsid w:val="007B5435"/>
    <w:rsid w:val="007B72B7"/>
    <w:rsid w:val="007C3A4B"/>
    <w:rsid w:val="007E674C"/>
    <w:rsid w:val="007F05DC"/>
    <w:rsid w:val="007F4653"/>
    <w:rsid w:val="007F486F"/>
    <w:rsid w:val="00803A6A"/>
    <w:rsid w:val="008048AE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5DB2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06AC2"/>
    <w:rsid w:val="00A17FA5"/>
    <w:rsid w:val="00A20C0F"/>
    <w:rsid w:val="00A22C1A"/>
    <w:rsid w:val="00A25D53"/>
    <w:rsid w:val="00A4578C"/>
    <w:rsid w:val="00A47C96"/>
    <w:rsid w:val="00A620D3"/>
    <w:rsid w:val="00A66F45"/>
    <w:rsid w:val="00A735E4"/>
    <w:rsid w:val="00A8215E"/>
    <w:rsid w:val="00AB47C5"/>
    <w:rsid w:val="00AB53D1"/>
    <w:rsid w:val="00AB74F5"/>
    <w:rsid w:val="00AC0790"/>
    <w:rsid w:val="00AC12D7"/>
    <w:rsid w:val="00AC7CDE"/>
    <w:rsid w:val="00AD558F"/>
    <w:rsid w:val="00AD5E04"/>
    <w:rsid w:val="00B020F5"/>
    <w:rsid w:val="00B15284"/>
    <w:rsid w:val="00B33523"/>
    <w:rsid w:val="00B36E54"/>
    <w:rsid w:val="00B4205F"/>
    <w:rsid w:val="00B42469"/>
    <w:rsid w:val="00B466B4"/>
    <w:rsid w:val="00B71F10"/>
    <w:rsid w:val="00B93E97"/>
    <w:rsid w:val="00B97B41"/>
    <w:rsid w:val="00BA58F5"/>
    <w:rsid w:val="00BB248B"/>
    <w:rsid w:val="00BC3C60"/>
    <w:rsid w:val="00BC6C87"/>
    <w:rsid w:val="00BE070B"/>
    <w:rsid w:val="00BE147D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C6956"/>
    <w:rsid w:val="00CF0298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3589"/>
    <w:rsid w:val="00D84C43"/>
    <w:rsid w:val="00D87989"/>
    <w:rsid w:val="00DA5D3B"/>
    <w:rsid w:val="00DB4B6B"/>
    <w:rsid w:val="00DC041F"/>
    <w:rsid w:val="00DC0BC9"/>
    <w:rsid w:val="00DD26B0"/>
    <w:rsid w:val="00DE7BE6"/>
    <w:rsid w:val="00DF32AC"/>
    <w:rsid w:val="00E03A0F"/>
    <w:rsid w:val="00E11D2E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D783B"/>
    <w:rsid w:val="00EF0DB2"/>
    <w:rsid w:val="00EF28D6"/>
    <w:rsid w:val="00F00768"/>
    <w:rsid w:val="00F1689B"/>
    <w:rsid w:val="00F16A9F"/>
    <w:rsid w:val="00F20317"/>
    <w:rsid w:val="00F20EA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41A1"/>
    <w:rsid w:val="00F568C2"/>
    <w:rsid w:val="00F61C96"/>
    <w:rsid w:val="00F65572"/>
    <w:rsid w:val="00F65660"/>
    <w:rsid w:val="00F86C97"/>
    <w:rsid w:val="00F91F77"/>
    <w:rsid w:val="00FA0B51"/>
    <w:rsid w:val="00FB2BDB"/>
    <w:rsid w:val="00FB5E90"/>
    <w:rsid w:val="00FB7323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36</cp:revision>
  <cp:lastPrinted>2019-01-03T08:39:00Z</cp:lastPrinted>
  <dcterms:created xsi:type="dcterms:W3CDTF">2020-04-16T06:39:00Z</dcterms:created>
  <dcterms:modified xsi:type="dcterms:W3CDTF">2020-11-25T09:11:00Z</dcterms:modified>
</cp:coreProperties>
</file>