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62" w:rsidRDefault="00EC1D62" w:rsidP="00EC1D62">
      <w:pPr>
        <w:adjustRightInd w:val="0"/>
        <w:snapToGrid w:val="0"/>
        <w:jc w:val="center"/>
        <w:rPr>
          <w:rFonts w:ascii="彩虹粗仿宋" w:eastAsia="彩虹粗仿宋" w:hAnsi="宋体" w:cs="Arial"/>
          <w:b/>
          <w:sz w:val="44"/>
        </w:rPr>
      </w:pPr>
      <w:bookmarkStart w:id="0" w:name="_GoBack"/>
      <w:bookmarkEnd w:id="0"/>
    </w:p>
    <w:p w:rsidR="00EC1D62" w:rsidRDefault="00EC1D62" w:rsidP="00EC1D62">
      <w:pPr>
        <w:adjustRightInd w:val="0"/>
        <w:snapToGrid w:val="0"/>
        <w:jc w:val="center"/>
        <w:rPr>
          <w:rFonts w:ascii="彩虹粗仿宋" w:eastAsia="彩虹粗仿宋" w:hAnsi="宋体" w:cs="Arial"/>
          <w:b/>
          <w:sz w:val="44"/>
        </w:rPr>
      </w:pPr>
    </w:p>
    <w:p w:rsidR="00EC1D62" w:rsidRDefault="00EC1D62" w:rsidP="00EC1D62">
      <w:pPr>
        <w:adjustRightInd w:val="0"/>
        <w:snapToGrid w:val="0"/>
        <w:jc w:val="center"/>
        <w:rPr>
          <w:rFonts w:ascii="彩虹粗仿宋" w:eastAsia="彩虹粗仿宋" w:hAnsi="宋体" w:cs="Arial"/>
          <w:b/>
          <w:sz w:val="44"/>
        </w:rPr>
      </w:pPr>
    </w:p>
    <w:p w:rsidR="00EC1D62" w:rsidRDefault="00EC1D62" w:rsidP="00EC1D62">
      <w:pPr>
        <w:adjustRightInd w:val="0"/>
        <w:snapToGrid w:val="0"/>
        <w:jc w:val="center"/>
        <w:rPr>
          <w:rFonts w:ascii="彩虹粗仿宋" w:eastAsia="彩虹粗仿宋" w:hAnsi="宋体" w:cs="Arial"/>
          <w:b/>
          <w:sz w:val="44"/>
        </w:rPr>
      </w:pPr>
    </w:p>
    <w:p w:rsidR="00EC1D62" w:rsidRDefault="00EC1D62" w:rsidP="00EC1D62">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信达澳银医药健康混合型证券投资基金</w:t>
      </w:r>
    </w:p>
    <w:p w:rsidR="00EC1D62" w:rsidRDefault="00EC1D62" w:rsidP="00EC1D62">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基金管理人：信达</w:t>
      </w:r>
      <w:r>
        <w:rPr>
          <w:rFonts w:ascii="彩虹粗仿宋" w:eastAsia="彩虹粗仿宋" w:hAnsi="宋体" w:cs="Arial"/>
          <w:b/>
          <w:bCs/>
          <w:sz w:val="28"/>
        </w:rPr>
        <w:t>澳银</w:t>
      </w:r>
      <w:r>
        <w:rPr>
          <w:rFonts w:ascii="彩虹粗仿宋" w:eastAsia="彩虹粗仿宋" w:hAnsi="宋体" w:cs="Arial" w:hint="eastAsia"/>
          <w:b/>
          <w:bCs/>
          <w:sz w:val="28"/>
        </w:rPr>
        <w:t>基金管理有限公司</w:t>
      </w:r>
    </w:p>
    <w:p w:rsidR="00EC1D62" w:rsidRDefault="00EC1D62" w:rsidP="00EC1D6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EC1D62" w:rsidRDefault="00EC1D62" w:rsidP="00EC1D62">
      <w:pPr>
        <w:adjustRightInd w:val="0"/>
        <w:snapToGrid w:val="0"/>
        <w:outlineLvl w:val="0"/>
        <w:rPr>
          <w:rFonts w:ascii="彩虹粗仿宋" w:eastAsia="彩虹粗仿宋" w:hAnsi="宋体" w:cs="Arial"/>
          <w:sz w:val="24"/>
        </w:rPr>
      </w:pPr>
    </w:p>
    <w:p w:rsidR="00EC1D62" w:rsidRDefault="00EC1D62" w:rsidP="00EC1D62">
      <w:pPr>
        <w:adjustRightInd w:val="0"/>
        <w:snapToGrid w:val="0"/>
        <w:jc w:val="center"/>
        <w:outlineLvl w:val="0"/>
        <w:rPr>
          <w:rFonts w:ascii="彩虹粗仿宋" w:eastAsia="彩虹粗仿宋" w:hAnsi="宋体" w:cs="Arial"/>
          <w:sz w:val="24"/>
        </w:rPr>
      </w:pPr>
    </w:p>
    <w:p w:rsidR="00EC1D62" w:rsidRDefault="00EC1D62" w:rsidP="00EC1D62">
      <w:pPr>
        <w:adjustRightInd w:val="0"/>
        <w:snapToGrid w:val="0"/>
        <w:outlineLvl w:val="0"/>
        <w:rPr>
          <w:rFonts w:ascii="彩虹粗仿宋" w:eastAsia="彩虹粗仿宋" w:hAnsi="宋体" w:cs="Arial"/>
          <w:bCs/>
          <w:sz w:val="24"/>
        </w:rPr>
        <w:sectPr w:rsidR="00EC1D62">
          <w:footerReference w:type="even" r:id="rId6"/>
          <w:footerReference w:type="default" r:id="rId7"/>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 xml:space="preserve">                            二零二</w:t>
      </w:r>
      <w:r w:rsidR="0037016F">
        <w:rPr>
          <w:rFonts w:ascii="彩虹粗仿宋" w:eastAsia="彩虹粗仿宋" w:hAnsi="宋体" w:cs="Arial" w:hint="eastAsia"/>
          <w:sz w:val="24"/>
        </w:rPr>
        <w:t>一</w:t>
      </w:r>
      <w:r>
        <w:rPr>
          <w:rFonts w:ascii="彩虹粗仿宋" w:eastAsia="彩虹粗仿宋" w:hAnsi="宋体" w:cs="Arial" w:hint="eastAsia"/>
          <w:sz w:val="24"/>
        </w:rPr>
        <w:t>年</w:t>
      </w:r>
      <w:r w:rsidR="0037016F">
        <w:rPr>
          <w:rFonts w:ascii="彩虹粗仿宋" w:eastAsia="彩虹粗仿宋" w:hAnsi="宋体" w:cs="Arial" w:hint="eastAsia"/>
          <w:sz w:val="24"/>
        </w:rPr>
        <w:t>三</w:t>
      </w:r>
      <w:r>
        <w:rPr>
          <w:rFonts w:ascii="彩虹粗仿宋" w:eastAsia="彩虹粗仿宋" w:hAnsi="宋体" w:cs="Arial" w:hint="eastAsia"/>
          <w:sz w:val="24"/>
        </w:rPr>
        <w:t>月</w:t>
      </w:r>
    </w:p>
    <w:p w:rsidR="00EC1D62" w:rsidRDefault="00EC1D62" w:rsidP="00EC1D62">
      <w:pPr>
        <w:jc w:val="center"/>
        <w:rPr>
          <w:rFonts w:ascii="彩虹粗仿宋" w:eastAsia="彩虹粗仿宋"/>
          <w:b/>
          <w:bCs/>
          <w:sz w:val="30"/>
        </w:rPr>
      </w:pPr>
      <w:r>
        <w:rPr>
          <w:rFonts w:ascii="彩虹粗仿宋" w:eastAsia="彩虹粗仿宋" w:hint="eastAsia"/>
          <w:b/>
          <w:bCs/>
          <w:sz w:val="30"/>
        </w:rPr>
        <w:lastRenderedPageBreak/>
        <w:t>目    录</w:t>
      </w:r>
    </w:p>
    <w:p w:rsidR="00EC1D62" w:rsidRDefault="00EC1D62" w:rsidP="00EC1D62">
      <w:pPr>
        <w:pStyle w:val="21"/>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7"/>
            <w:rFonts w:ascii="彩虹粗仿宋" w:eastAsia="彩虹粗仿宋" w:hAnsi="宋体" w:hint="eastAsia"/>
            <w:sz w:val="28"/>
            <w:szCs w:val="32"/>
          </w:rPr>
          <w:t>一、基金托管协议当</w:t>
        </w:r>
        <w:bookmarkStart w:id="1" w:name="_Hlt498420680"/>
        <w:bookmarkStart w:id="2" w:name="_Hlt498420681"/>
        <w:r>
          <w:rPr>
            <w:rStyle w:val="a7"/>
            <w:rFonts w:ascii="彩虹粗仿宋" w:eastAsia="彩虹粗仿宋" w:hAnsi="宋体" w:hint="eastAsia"/>
            <w:sz w:val="28"/>
            <w:szCs w:val="32"/>
          </w:rPr>
          <w:t>事</w:t>
        </w:r>
        <w:bookmarkEnd w:id="1"/>
        <w:bookmarkEnd w:id="2"/>
        <w:r>
          <w:rPr>
            <w:rStyle w:val="a7"/>
            <w:rFonts w:ascii="彩虹粗仿宋" w:eastAsia="彩虹粗仿宋" w:hAnsi="宋体" w:hint="eastAsia"/>
            <w:sz w:val="28"/>
            <w:szCs w:val="32"/>
          </w:rPr>
          <w:t>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sidR="00A6414E">
          <w:rPr>
            <w:rFonts w:ascii="彩虹粗仿宋" w:eastAsia="彩虹粗仿宋" w:hAnsi="宋体"/>
            <w:noProof/>
            <w:sz w:val="28"/>
          </w:rPr>
          <w:t>3</w:t>
        </w:r>
        <w:r>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86" w:history="1">
        <w:r w:rsidR="00EC1D62">
          <w:rPr>
            <w:rStyle w:val="a7"/>
            <w:rFonts w:ascii="彩虹粗仿宋" w:eastAsia="彩虹粗仿宋" w:hAnsi="宋体" w:hint="eastAsia"/>
            <w:sz w:val="28"/>
            <w:szCs w:val="32"/>
          </w:rPr>
          <w:t>二、基金托管协议的依据、目的和原则</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_Toc124325886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4</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87" w:history="1">
        <w:r w:rsidR="00EC1D62">
          <w:rPr>
            <w:rStyle w:val="a7"/>
            <w:rFonts w:ascii="彩虹粗仿宋" w:eastAsia="彩虹粗仿宋" w:hAnsi="宋体" w:hint="eastAsia"/>
            <w:sz w:val="28"/>
            <w:szCs w:val="32"/>
          </w:rPr>
          <w:t>三、基金托管人对基金管理人的业务监督和核查</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_Toc124325887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5</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88" w:history="1">
        <w:r w:rsidR="00EC1D62">
          <w:rPr>
            <w:rStyle w:val="a7"/>
            <w:rFonts w:ascii="彩虹粗仿宋" w:eastAsia="彩虹粗仿宋" w:hAnsi="宋体" w:hint="eastAsia"/>
            <w:sz w:val="28"/>
            <w:szCs w:val="32"/>
          </w:rPr>
          <w:t>四、基金管理人对基金托管人的业务核查</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_Toc124325888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11</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89" w:history="1">
        <w:r w:rsidR="00EC1D62">
          <w:rPr>
            <w:rStyle w:val="a7"/>
            <w:rFonts w:ascii="彩虹粗仿宋" w:eastAsia="彩虹粗仿宋" w:hAnsi="宋体" w:hint="eastAsia"/>
            <w:sz w:val="28"/>
            <w:szCs w:val="32"/>
          </w:rPr>
          <w:t>五、基金财产的保管</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_Toc124325889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12</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0" w:history="1">
        <w:r w:rsidR="00EC1D62">
          <w:rPr>
            <w:rStyle w:val="a7"/>
            <w:rFonts w:ascii="彩虹粗仿宋" w:eastAsia="彩虹粗仿宋" w:hAnsi="宋体" w:hint="eastAsia"/>
            <w:sz w:val="28"/>
            <w:szCs w:val="32"/>
          </w:rPr>
          <w:t>六、指令的发送、确认及执行</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_Toc124325890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15</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1" w:history="1">
        <w:r w:rsidR="00EC1D62">
          <w:rPr>
            <w:rStyle w:val="a7"/>
            <w:rFonts w:ascii="彩虹粗仿宋" w:eastAsia="彩虹粗仿宋" w:hAnsi="宋体" w:hint="eastAsia"/>
            <w:sz w:val="28"/>
            <w:szCs w:val="32"/>
          </w:rPr>
          <w:t>七、交易及清算</w:t>
        </w:r>
        <w:bookmarkStart w:id="3" w:name="_Hlt497143548"/>
        <w:bookmarkStart w:id="4" w:name="_Hlt497143549"/>
        <w:r w:rsidR="00EC1D62">
          <w:rPr>
            <w:rStyle w:val="a7"/>
            <w:rFonts w:ascii="彩虹粗仿宋" w:eastAsia="彩虹粗仿宋" w:hAnsi="宋体" w:hint="eastAsia"/>
            <w:sz w:val="28"/>
            <w:szCs w:val="32"/>
          </w:rPr>
          <w:t>交</w:t>
        </w:r>
        <w:bookmarkEnd w:id="3"/>
        <w:bookmarkEnd w:id="4"/>
        <w:r w:rsidR="00EC1D62">
          <w:rPr>
            <w:rStyle w:val="a7"/>
            <w:rFonts w:ascii="彩虹粗仿宋" w:eastAsia="彩虹粗仿宋" w:hAnsi="宋体" w:hint="eastAsia"/>
            <w:sz w:val="28"/>
            <w:szCs w:val="32"/>
          </w:rPr>
          <w:t>收安</w:t>
        </w:r>
        <w:bookmarkStart w:id="5" w:name="_Hlt419449173"/>
        <w:r w:rsidR="00EC1D62">
          <w:rPr>
            <w:rStyle w:val="a7"/>
            <w:rFonts w:ascii="彩虹粗仿宋" w:eastAsia="彩虹粗仿宋" w:hAnsi="宋体" w:hint="eastAsia"/>
            <w:sz w:val="28"/>
            <w:szCs w:val="32"/>
          </w:rPr>
          <w:t>排</w:t>
        </w:r>
        <w:bookmarkEnd w:id="5"/>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_Toc124325891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17</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2" w:history="1">
        <w:r w:rsidR="00EC1D62">
          <w:rPr>
            <w:rStyle w:val="a7"/>
            <w:rFonts w:ascii="彩虹粗仿宋" w:eastAsia="彩虹粗仿宋" w:hAnsi="宋体" w:hint="eastAsia"/>
            <w:sz w:val="28"/>
            <w:szCs w:val="32"/>
          </w:rPr>
          <w:t>八、基金资产净值</w:t>
        </w:r>
        <w:bookmarkStart w:id="6" w:name="_Hlt419449178"/>
        <w:r w:rsidR="00EC1D62">
          <w:rPr>
            <w:rStyle w:val="a7"/>
            <w:rFonts w:ascii="彩虹粗仿宋" w:eastAsia="彩虹粗仿宋" w:hAnsi="宋体" w:hint="eastAsia"/>
            <w:sz w:val="28"/>
            <w:szCs w:val="32"/>
          </w:rPr>
          <w:t>计</w:t>
        </w:r>
        <w:bookmarkEnd w:id="6"/>
        <w:r w:rsidR="00EC1D62">
          <w:rPr>
            <w:rStyle w:val="a7"/>
            <w:rFonts w:ascii="彩虹粗仿宋" w:eastAsia="彩虹粗仿宋" w:hAnsi="宋体" w:hint="eastAsia"/>
            <w:sz w:val="28"/>
            <w:szCs w:val="32"/>
          </w:rPr>
          <w:t>算和会计核算</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_Toc124325892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22</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3" w:history="1">
        <w:r w:rsidR="00EC1D62">
          <w:rPr>
            <w:rStyle w:val="a7"/>
            <w:rFonts w:ascii="彩虹粗仿宋" w:eastAsia="彩虹粗仿宋" w:hAnsi="宋体" w:hint="eastAsia"/>
            <w:sz w:val="28"/>
            <w:szCs w:val="32"/>
          </w:rPr>
          <w:t>九、基金收益分配</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_Toc124325893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27</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4" w:history="1">
        <w:r w:rsidR="00EC1D62">
          <w:rPr>
            <w:rStyle w:val="a7"/>
            <w:rFonts w:ascii="彩虹粗仿宋" w:eastAsia="彩虹粗仿宋" w:hAnsi="宋体" w:hint="eastAsia"/>
            <w:sz w:val="28"/>
            <w:szCs w:val="32"/>
          </w:rPr>
          <w:t>十、基金信息披露</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_Toc124325894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28</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5" w:history="1">
        <w:r w:rsidR="00EC1D62">
          <w:rPr>
            <w:rStyle w:val="a7"/>
            <w:rFonts w:ascii="彩虹粗仿宋" w:eastAsia="彩虹粗仿宋" w:hAnsi="宋体" w:hint="eastAsia"/>
            <w:sz w:val="28"/>
            <w:szCs w:val="32"/>
          </w:rPr>
          <w:t>十一、基金费用</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_Toc124325895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30</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6" w:history="1">
        <w:r w:rsidR="00EC1D62">
          <w:rPr>
            <w:rStyle w:val="a7"/>
            <w:rFonts w:ascii="彩虹粗仿宋" w:eastAsia="彩虹粗仿宋" w:hAnsi="宋体" w:hint="eastAsia"/>
            <w:sz w:val="28"/>
            <w:szCs w:val="32"/>
          </w:rPr>
          <w:t>十二、基金份额持有人名册的保管</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_Toc124325896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31</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7" w:history="1">
        <w:r w:rsidR="00EC1D62">
          <w:rPr>
            <w:rStyle w:val="a7"/>
            <w:rFonts w:ascii="彩虹粗仿宋" w:eastAsia="彩虹粗仿宋" w:hAnsi="宋体" w:hint="eastAsia"/>
            <w:sz w:val="28"/>
            <w:szCs w:val="32"/>
          </w:rPr>
          <w:t>十三、基金有关文件档案的保存</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_Toc124325897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32</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8" w:history="1">
        <w:r w:rsidR="00EC1D62">
          <w:rPr>
            <w:rStyle w:val="a7"/>
            <w:rFonts w:ascii="彩虹粗仿宋" w:eastAsia="彩虹粗仿宋" w:hAnsi="宋体" w:hint="eastAsia"/>
            <w:sz w:val="28"/>
            <w:szCs w:val="32"/>
          </w:rPr>
          <w:t>十四、基金管理人和基金托管人的更换</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_Toc124325898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32</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899" w:history="1">
        <w:r w:rsidR="00EC1D62">
          <w:rPr>
            <w:rStyle w:val="a7"/>
            <w:rFonts w:ascii="彩虹粗仿宋" w:eastAsia="彩虹粗仿宋" w:hAnsi="宋体" w:hint="eastAsia"/>
            <w:sz w:val="28"/>
            <w:szCs w:val="32"/>
          </w:rPr>
          <w:t>十五、禁止行为</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_Toc124325899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34</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0" w:history="1">
        <w:r w:rsidR="00EC1D62">
          <w:rPr>
            <w:rStyle w:val="a7"/>
            <w:rFonts w:ascii="彩虹粗仿宋" w:eastAsia="彩虹粗仿宋" w:hAnsi="宋体" w:hint="eastAsia"/>
            <w:sz w:val="28"/>
            <w:szCs w:val="32"/>
          </w:rPr>
          <w:t>十六、托管协议的变更、终止与基金财产的清算</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_Toc124325900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35</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1" w:history="1">
        <w:r w:rsidR="00EC1D62">
          <w:rPr>
            <w:rStyle w:val="a7"/>
            <w:rFonts w:ascii="彩虹粗仿宋" w:eastAsia="彩虹粗仿宋" w:hAnsi="宋体" w:hint="eastAsia"/>
            <w:sz w:val="28"/>
            <w:szCs w:val="32"/>
          </w:rPr>
          <w:t>十七、违约责任</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_Toc124325901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37</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2" w:history="1">
        <w:r w:rsidR="00EC1D62">
          <w:rPr>
            <w:rStyle w:val="a7"/>
            <w:rFonts w:ascii="彩虹粗仿宋" w:eastAsia="彩虹粗仿宋" w:hAnsi="宋体" w:hint="eastAsia"/>
            <w:sz w:val="28"/>
            <w:szCs w:val="32"/>
          </w:rPr>
          <w:t>十八、争议解决方式</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_Toc124325902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38</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3" w:history="1">
        <w:r w:rsidR="00EC1D62">
          <w:rPr>
            <w:rStyle w:val="a7"/>
            <w:rFonts w:ascii="彩虹粗仿宋" w:eastAsia="彩虹粗仿宋" w:hAnsi="宋体" w:hint="eastAsia"/>
            <w:sz w:val="28"/>
            <w:szCs w:val="32"/>
          </w:rPr>
          <w:t>十九、托管协议的效力</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_Toc124325903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38</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4" w:history="1">
        <w:r w:rsidR="00EC1D62">
          <w:rPr>
            <w:rStyle w:val="a7"/>
            <w:rFonts w:ascii="彩虹粗仿宋" w:eastAsia="彩虹粗仿宋" w:hAnsi="宋体" w:hint="eastAsia"/>
            <w:sz w:val="28"/>
            <w:szCs w:val="32"/>
          </w:rPr>
          <w:t>二十、其他事项</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_Toc124325904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39</w:t>
        </w:r>
        <w:r w:rsidR="00EC1D62">
          <w:rPr>
            <w:rFonts w:ascii="彩虹粗仿宋" w:eastAsia="彩虹粗仿宋" w:hAnsi="宋体" w:hint="eastAsia"/>
            <w:sz w:val="28"/>
          </w:rPr>
          <w:fldChar w:fldCharType="end"/>
        </w:r>
      </w:hyperlink>
    </w:p>
    <w:p w:rsidR="00EC1D62" w:rsidRDefault="006A5924" w:rsidP="00EC1D62">
      <w:pPr>
        <w:pStyle w:val="21"/>
        <w:tabs>
          <w:tab w:val="right" w:leader="dot" w:pos="8494"/>
        </w:tabs>
        <w:rPr>
          <w:rFonts w:ascii="彩虹粗仿宋" w:eastAsia="彩虹粗仿宋" w:hAnsi="宋体"/>
          <w:sz w:val="28"/>
        </w:rPr>
      </w:pPr>
      <w:hyperlink w:anchor="_Toc124325905" w:history="1">
        <w:r w:rsidR="00EC1D62">
          <w:rPr>
            <w:rStyle w:val="a7"/>
            <w:rFonts w:ascii="彩虹粗仿宋" w:eastAsia="彩虹粗仿宋" w:hAnsi="宋体" w:hint="eastAsia"/>
            <w:sz w:val="28"/>
            <w:szCs w:val="32"/>
          </w:rPr>
          <w:t>二十一、托管协议的签订</w:t>
        </w:r>
        <w:r w:rsidR="00EC1D62">
          <w:rPr>
            <w:rFonts w:ascii="彩虹粗仿宋" w:eastAsia="彩虹粗仿宋" w:hAnsi="宋体" w:hint="eastAsia"/>
            <w:sz w:val="28"/>
          </w:rPr>
          <w:tab/>
        </w:r>
        <w:r w:rsidR="00EC1D62">
          <w:rPr>
            <w:rFonts w:ascii="彩虹粗仿宋" w:eastAsia="彩虹粗仿宋" w:hAnsi="宋体" w:hint="eastAsia"/>
            <w:sz w:val="28"/>
          </w:rPr>
          <w:fldChar w:fldCharType="begin"/>
        </w:r>
        <w:r w:rsidR="00EC1D62">
          <w:rPr>
            <w:rFonts w:ascii="彩虹粗仿宋" w:eastAsia="彩虹粗仿宋" w:hAnsi="宋体" w:hint="eastAsia"/>
            <w:sz w:val="28"/>
          </w:rPr>
          <w:instrText xml:space="preserve"> PAGEREF _Toc124325905 \h </w:instrText>
        </w:r>
        <w:r w:rsidR="00EC1D62">
          <w:rPr>
            <w:rFonts w:ascii="彩虹粗仿宋" w:eastAsia="彩虹粗仿宋" w:hAnsi="宋体" w:hint="eastAsia"/>
            <w:sz w:val="28"/>
          </w:rPr>
        </w:r>
        <w:r w:rsidR="00EC1D62">
          <w:rPr>
            <w:rFonts w:ascii="彩虹粗仿宋" w:eastAsia="彩虹粗仿宋" w:hAnsi="宋体" w:hint="eastAsia"/>
            <w:sz w:val="28"/>
          </w:rPr>
          <w:fldChar w:fldCharType="separate"/>
        </w:r>
        <w:r w:rsidR="00A6414E">
          <w:rPr>
            <w:rFonts w:ascii="彩虹粗仿宋" w:eastAsia="彩虹粗仿宋" w:hAnsi="宋体"/>
            <w:noProof/>
            <w:sz w:val="28"/>
          </w:rPr>
          <w:t>39</w:t>
        </w:r>
        <w:r w:rsidR="00EC1D62">
          <w:rPr>
            <w:rFonts w:ascii="彩虹粗仿宋" w:eastAsia="彩虹粗仿宋" w:hAnsi="宋体" w:hint="eastAsia"/>
            <w:sz w:val="28"/>
          </w:rPr>
          <w:fldChar w:fldCharType="end"/>
        </w:r>
      </w:hyperlink>
    </w:p>
    <w:p w:rsidR="00EC1D62" w:rsidRDefault="00EC1D62" w:rsidP="00EC1D62">
      <w:pPr>
        <w:rPr>
          <w:rFonts w:ascii="彩虹粗仿宋" w:eastAsia="彩虹粗仿宋"/>
          <w:sz w:val="24"/>
        </w:rPr>
      </w:pPr>
      <w:r>
        <w:rPr>
          <w:rFonts w:ascii="彩虹粗仿宋" w:eastAsia="彩虹粗仿宋" w:hAnsi="宋体" w:hint="eastAsia"/>
          <w:sz w:val="28"/>
        </w:rPr>
        <w:lastRenderedPageBreak/>
        <w:fldChar w:fldCharType="end"/>
      </w:r>
    </w:p>
    <w:p w:rsidR="00EC1D62" w:rsidRDefault="00EC1D62" w:rsidP="00EC1D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w:t>
      </w:r>
      <w:r>
        <w:rPr>
          <w:rFonts w:ascii="彩虹粗仿宋" w:eastAsia="彩虹粗仿宋" w:hAnsi="宋体" w:cs="Arial"/>
          <w:kern w:val="0"/>
          <w:sz w:val="24"/>
        </w:rPr>
        <w:t>澳银</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基金管理有限公司系一家依照中国法律合法成立并有效存续的有限责任公司，按照相关法律法规的规定具备担任基金管理人的资格和能力，拟募集发行信达澳银医药</w:t>
      </w:r>
      <w:r>
        <w:rPr>
          <w:rFonts w:ascii="彩虹粗仿宋" w:eastAsia="彩虹粗仿宋" w:hAnsi="宋体" w:cs="Arial"/>
          <w:kern w:val="0"/>
          <w:sz w:val="24"/>
        </w:rPr>
        <w:t>健康混合</w:t>
      </w:r>
      <w:r>
        <w:rPr>
          <w:rFonts w:ascii="彩虹粗仿宋" w:eastAsia="彩虹粗仿宋" w:hAnsi="宋体" w:cs="Arial" w:hint="eastAsia"/>
          <w:kern w:val="0"/>
          <w:sz w:val="24"/>
        </w:rPr>
        <w:t>型证券投资基金；</w:t>
      </w:r>
    </w:p>
    <w:p w:rsidR="00EC1D62" w:rsidRDefault="00EC1D62" w:rsidP="00EC1D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C1D62" w:rsidRDefault="00EC1D62" w:rsidP="00EC1D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w:t>
      </w:r>
      <w:r>
        <w:rPr>
          <w:rFonts w:ascii="彩虹粗仿宋" w:eastAsia="彩虹粗仿宋" w:hAnsi="宋体" w:cs="Arial"/>
          <w:kern w:val="0"/>
          <w:sz w:val="24"/>
        </w:rPr>
        <w:t>澳银</w:t>
      </w:r>
      <w:r>
        <w:rPr>
          <w:rFonts w:ascii="彩虹粗仿宋" w:eastAsia="彩虹粗仿宋" w:hAnsi="宋体" w:cs="Arial" w:hint="eastAsia"/>
          <w:kern w:val="0"/>
          <w:sz w:val="24"/>
        </w:rPr>
        <w:t>基金管理有限公司拟担任信达澳银医药</w:t>
      </w:r>
      <w:r>
        <w:rPr>
          <w:rFonts w:ascii="彩虹粗仿宋" w:eastAsia="彩虹粗仿宋" w:hAnsi="宋体" w:cs="Arial"/>
          <w:kern w:val="0"/>
          <w:sz w:val="24"/>
        </w:rPr>
        <w:t>健康混合</w:t>
      </w:r>
      <w:r>
        <w:rPr>
          <w:rFonts w:ascii="彩虹粗仿宋" w:eastAsia="彩虹粗仿宋" w:hAnsi="宋体" w:cs="Arial" w:hint="eastAsia"/>
          <w:kern w:val="0"/>
          <w:sz w:val="24"/>
        </w:rPr>
        <w:t>型证券投资基金的基金管理人，中国建设银行股份有限公司拟担任信达澳银医药</w:t>
      </w:r>
      <w:r>
        <w:rPr>
          <w:rFonts w:ascii="彩虹粗仿宋" w:eastAsia="彩虹粗仿宋" w:hAnsi="宋体" w:cs="Arial"/>
          <w:kern w:val="0"/>
          <w:sz w:val="24"/>
        </w:rPr>
        <w:t>健康混合</w:t>
      </w:r>
      <w:r>
        <w:rPr>
          <w:rFonts w:ascii="彩虹粗仿宋" w:eastAsia="彩虹粗仿宋" w:hAnsi="宋体" w:cs="Arial" w:hint="eastAsia"/>
          <w:kern w:val="0"/>
          <w:sz w:val="24"/>
        </w:rPr>
        <w:t>型证券投资基金的基金托管人；</w:t>
      </w:r>
    </w:p>
    <w:p w:rsidR="00EC1D62" w:rsidRDefault="00EC1D62" w:rsidP="00EC1D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为明确信达澳银医药</w:t>
      </w:r>
      <w:r>
        <w:rPr>
          <w:rFonts w:ascii="彩虹粗仿宋" w:eastAsia="彩虹粗仿宋" w:hAnsi="宋体" w:cs="Arial"/>
          <w:kern w:val="0"/>
          <w:sz w:val="24"/>
        </w:rPr>
        <w:t>健康混合</w:t>
      </w:r>
      <w:r>
        <w:rPr>
          <w:rFonts w:ascii="彩虹粗仿宋" w:eastAsia="彩虹粗仿宋" w:hAnsi="宋体" w:cs="Arial" w:hint="eastAsia"/>
          <w:kern w:val="0"/>
          <w:sz w:val="24"/>
        </w:rPr>
        <w:t>型证券投资基金的基金管理人和基金托管人之间的权利义务关系，特制订本托管协议；</w:t>
      </w:r>
    </w:p>
    <w:p w:rsidR="00EC1D62" w:rsidRDefault="00EC1D62" w:rsidP="00EC1D62">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信达澳银医药</w:t>
      </w:r>
      <w:r>
        <w:rPr>
          <w:rFonts w:ascii="彩虹粗仿宋" w:eastAsia="彩虹粗仿宋" w:hAnsi="宋体" w:cs="Arial"/>
          <w:kern w:val="0"/>
          <w:sz w:val="24"/>
        </w:rPr>
        <w:t>健康混合</w:t>
      </w:r>
      <w:r>
        <w:rPr>
          <w:rFonts w:ascii="彩虹粗仿宋" w:eastAsia="彩虹粗仿宋" w:hAnsi="宋体" w:cs="Arial" w:hint="eastAsia"/>
          <w:kern w:val="0"/>
          <w:sz w:val="24"/>
        </w:rPr>
        <w:t>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EC1D62" w:rsidRDefault="00EC1D62" w:rsidP="00EC1D62">
      <w:pPr>
        <w:rPr>
          <w:rFonts w:ascii="彩虹粗仿宋" w:eastAsia="彩虹粗仿宋"/>
          <w:sz w:val="24"/>
          <w:lang w:val="en-GB"/>
        </w:rPr>
      </w:pPr>
    </w:p>
    <w:p w:rsidR="00EC1D62" w:rsidRDefault="00EC1D62" w:rsidP="00EC1D62">
      <w:pPr>
        <w:pStyle w:val="2"/>
        <w:jc w:val="center"/>
        <w:rPr>
          <w:rFonts w:ascii="彩虹粗仿宋" w:eastAsia="彩虹粗仿宋"/>
        </w:rPr>
      </w:pPr>
      <w:bookmarkStart w:id="7" w:name="_Toc124325885"/>
      <w:r>
        <w:rPr>
          <w:rFonts w:ascii="彩虹粗仿宋" w:eastAsia="彩虹粗仿宋" w:hint="eastAsia"/>
        </w:rPr>
        <w:t>一、基金托管协议当事人</w:t>
      </w:r>
      <w:bookmarkEnd w:id="7"/>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名称：信达澳银基金管理有限公司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注册地址：广东省深圳市南山区科苑南路（深圳湾段）3331号阿里巴巴大厦N1座第8层和第9层</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办公地址：广东省深圳市南山区科苑南路（深圳湾段）3331号阿里巴巴大厦N1座第8层和第9层</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518054</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法定代表人：祝瑞敏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Ansi="宋体" w:cs="Arial" w:hint="eastAsia"/>
          <w:sz w:val="24"/>
        </w:rPr>
        <w:t>2006年6月5日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sz w:val="24"/>
        </w:rPr>
        <w:t>[2006]071</w:t>
      </w:r>
      <w:r>
        <w:rPr>
          <w:rFonts w:ascii="彩虹粗仿宋" w:eastAsia="彩虹粗仿宋" w:hAnsi="宋体" w:cs="Arial" w:hint="eastAsia"/>
          <w:sz w:val="24"/>
        </w:rPr>
        <w:t>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w:t>
      </w:r>
      <w:r>
        <w:rPr>
          <w:rFonts w:ascii="彩虹粗仿宋" w:eastAsia="彩虹粗仿宋" w:hAnsi="宋体" w:cs="Arial" w:hint="eastAsia"/>
          <w:sz w:val="24"/>
        </w:rPr>
        <w:t>特定客户资产管理、</w:t>
      </w:r>
      <w:r>
        <w:rPr>
          <w:rFonts w:ascii="彩虹粗仿宋" w:eastAsia="彩虹粗仿宋" w:hAnsi="宋体" w:cs="Arial"/>
          <w:sz w:val="24"/>
        </w:rPr>
        <w:t>资产管理和中国证监会</w:t>
      </w:r>
      <w:r>
        <w:rPr>
          <w:rFonts w:ascii="彩虹粗仿宋" w:eastAsia="彩虹粗仿宋" w:hAnsi="宋体" w:cs="Arial"/>
          <w:sz w:val="24"/>
        </w:rPr>
        <w:lastRenderedPageBreak/>
        <w:t>许可的其他业务</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8" w:name="OLE_LINK3"/>
      <w:r>
        <w:rPr>
          <w:rFonts w:ascii="彩虹粗仿宋" w:eastAsia="彩虹粗仿宋" w:hAnsi="宋体" w:cs="Arial" w:hint="eastAsia"/>
          <w:sz w:val="24"/>
        </w:rPr>
        <w:t>]</w:t>
      </w:r>
      <w:bookmarkEnd w:id="8"/>
      <w:r>
        <w:rPr>
          <w:rFonts w:ascii="彩虹粗仿宋" w:eastAsia="彩虹粗仿宋" w:hAnsi="宋体" w:cs="Arial" w:hint="eastAsia"/>
          <w:sz w:val="24"/>
        </w:rPr>
        <w:t>12号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EC1D62" w:rsidRDefault="00EC1D62" w:rsidP="00EC1D62">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C1D62" w:rsidRDefault="00EC1D62" w:rsidP="00EC1D62">
      <w:pPr>
        <w:rPr>
          <w:rFonts w:ascii="彩虹粗仿宋" w:eastAsia="彩虹粗仿宋"/>
          <w:sz w:val="24"/>
        </w:rPr>
      </w:pPr>
    </w:p>
    <w:p w:rsidR="00EC1D62" w:rsidRDefault="00EC1D62" w:rsidP="00EC1D62">
      <w:pPr>
        <w:pStyle w:val="2"/>
        <w:jc w:val="center"/>
        <w:rPr>
          <w:rFonts w:ascii="彩虹粗仿宋" w:eastAsia="彩虹粗仿宋"/>
          <w:sz w:val="30"/>
        </w:rPr>
      </w:pPr>
      <w:bookmarkStart w:id="9" w:name="_Toc124325886"/>
      <w:r>
        <w:rPr>
          <w:rFonts w:ascii="彩虹粗仿宋" w:eastAsia="彩虹粗仿宋" w:hint="eastAsia"/>
          <w:sz w:val="30"/>
        </w:rPr>
        <w:t>二、基金托管协议的依据、目的和原则</w:t>
      </w:r>
      <w:bookmarkEnd w:id="9"/>
    </w:p>
    <w:p w:rsidR="00EC1D62" w:rsidRDefault="00EC1D62" w:rsidP="00EC1D6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Pr>
          <w:rFonts w:ascii="彩虹粗仿宋" w:eastAsia="彩虹粗仿宋" w:hAnsi="宋体" w:cs="Arial" w:hint="eastAsia"/>
          <w:kern w:val="0"/>
          <w:sz w:val="24"/>
        </w:rPr>
        <w:t>信达澳银医药健康混合型</w:t>
      </w:r>
      <w:r>
        <w:rPr>
          <w:rFonts w:ascii="彩虹粗仿宋" w:eastAsia="彩虹粗仿宋" w:hAnsi="宋体" w:cs="Arial" w:hint="eastAsia"/>
          <w:kern w:val="0"/>
          <w:sz w:val="24"/>
          <w:lang w:val="en-GB"/>
        </w:rPr>
        <w:t>证券投资基金基金合同</w:t>
      </w:r>
      <w:r>
        <w:rPr>
          <w:rFonts w:ascii="彩虹粗仿宋" w:eastAsia="彩虹粗仿宋" w:hAnsi="宋体" w:cs="Arial" w:hint="eastAsia"/>
          <w:sz w:val="24"/>
        </w:rPr>
        <w:t>》（以下简称《基金合同》）及其他有关规定订立。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EC1D62" w:rsidRDefault="00EC1D62" w:rsidP="00EC1D6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基金管理人和基金托管人本着平等自愿、诚实信用、充分保护基金份额持有人合法权益的原则，经协商一致，签订本协议。</w:t>
      </w:r>
    </w:p>
    <w:p w:rsidR="00EC1D62" w:rsidRDefault="00EC1D62" w:rsidP="00EC1D62">
      <w:pPr>
        <w:rPr>
          <w:rFonts w:ascii="彩虹粗仿宋" w:eastAsia="彩虹粗仿宋"/>
          <w:sz w:val="24"/>
        </w:rPr>
      </w:pPr>
    </w:p>
    <w:p w:rsidR="00EC1D62" w:rsidRDefault="00EC1D62" w:rsidP="00EC1D62">
      <w:pPr>
        <w:pStyle w:val="2"/>
        <w:jc w:val="center"/>
        <w:rPr>
          <w:rFonts w:ascii="彩虹粗仿宋" w:eastAsia="彩虹粗仿宋"/>
          <w:sz w:val="30"/>
          <w:szCs w:val="24"/>
        </w:rPr>
      </w:pPr>
      <w:bookmarkStart w:id="10" w:name="_Toc124325887"/>
      <w:r>
        <w:rPr>
          <w:rFonts w:ascii="彩虹粗仿宋" w:eastAsia="彩虹粗仿宋" w:hint="eastAsia"/>
          <w:sz w:val="30"/>
        </w:rPr>
        <w:t>三、基金托管人对基金管理人的业务监督和核查</w:t>
      </w:r>
      <w:bookmarkEnd w:id="10"/>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但须符合中国证监会相关规定)。</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股票及存托凭证资产占基金资产的比例为60%-95%，其中港股通标的股票占股票资产的比例不超过50%；其中投资于本基金所界定的医药健康主题相关证券资产的比例不低于非现金基金资产的80%。本基金每个交易日日终在扣除股指期货合约需缴纳的交易保证金后，基金保留的现金或者投资于到期日在一年以内的政府债券的比例合计不低于基金资产净值的5%。其中现金不包括结算备付金、存出保证金、应收申购款等。</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w:t>
      </w:r>
      <w:r w:rsidRPr="007C2EF4">
        <w:rPr>
          <w:rFonts w:ascii="彩虹粗仿宋" w:eastAsia="彩虹粗仿宋" w:hAnsi="宋体" w:cs="Arial" w:hint="eastAsia"/>
          <w:sz w:val="24"/>
        </w:rPr>
        <w:t xml:space="preserve">本基金股票及存托凭证资产占基金资产的比例为 </w:t>
      </w:r>
      <w:r w:rsidRPr="007C2EF4">
        <w:rPr>
          <w:rFonts w:ascii="彩虹粗仿宋" w:eastAsia="彩虹粗仿宋" w:hAnsi="宋体" w:cs="Arial"/>
          <w:sz w:val="24"/>
        </w:rPr>
        <w:t>6</w:t>
      </w:r>
      <w:r w:rsidRPr="007C2EF4">
        <w:rPr>
          <w:rFonts w:ascii="彩虹粗仿宋" w:eastAsia="彩虹粗仿宋" w:hAnsi="宋体" w:cs="Arial" w:hint="eastAsia"/>
          <w:sz w:val="24"/>
        </w:rPr>
        <w:t>0%—95%，</w:t>
      </w:r>
      <w:r>
        <w:rPr>
          <w:rFonts w:ascii="彩虹粗仿宋" w:eastAsia="彩虹粗仿宋" w:hAnsi="宋体" w:cs="Arial" w:hint="eastAsia"/>
          <w:sz w:val="24"/>
        </w:rPr>
        <w:t>其中港股通标的股票占股票资产的比例不超过50%；</w:t>
      </w:r>
      <w:r w:rsidRPr="007C2EF4">
        <w:rPr>
          <w:rFonts w:ascii="彩虹粗仿宋" w:eastAsia="彩虹粗仿宋" w:hAnsi="宋体" w:cs="Arial" w:hint="eastAsia"/>
          <w:sz w:val="24"/>
        </w:rPr>
        <w:t>其中投资于</w:t>
      </w:r>
      <w:bookmarkStart w:id="11" w:name="_Hlk40385443"/>
      <w:r w:rsidRPr="007C2EF4">
        <w:rPr>
          <w:rFonts w:ascii="彩虹粗仿宋" w:eastAsia="彩虹粗仿宋" w:hAnsi="宋体" w:cs="Arial" w:hint="eastAsia"/>
          <w:sz w:val="24"/>
        </w:rPr>
        <w:t>本基金所界定的</w:t>
      </w:r>
      <w:bookmarkEnd w:id="11"/>
      <w:r w:rsidRPr="007C2EF4">
        <w:rPr>
          <w:rFonts w:ascii="彩虹粗仿宋" w:eastAsia="彩虹粗仿宋" w:hAnsi="宋体" w:cs="Arial" w:hint="eastAsia"/>
          <w:sz w:val="24"/>
        </w:rPr>
        <w:t>医药健康主题相关证券资产</w:t>
      </w:r>
      <w:r>
        <w:rPr>
          <w:rFonts w:ascii="彩虹粗仿宋" w:eastAsia="彩虹粗仿宋" w:hAnsi="宋体" w:cs="Arial" w:hint="eastAsia"/>
          <w:sz w:val="24"/>
        </w:rPr>
        <w:t>的比例</w:t>
      </w:r>
      <w:r w:rsidRPr="007C2EF4">
        <w:rPr>
          <w:rFonts w:ascii="彩虹粗仿宋" w:eastAsia="彩虹粗仿宋" w:hAnsi="宋体" w:cs="Arial" w:hint="eastAsia"/>
          <w:sz w:val="24"/>
        </w:rPr>
        <w:t>不低于非现金基金资产的80%；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r>
        <w:rPr>
          <w:rFonts w:ascii="彩虹粗仿宋" w:eastAsia="彩虹粗仿宋" w:hAnsi="宋体" w:cs="Arial"/>
          <w:sz w:val="24"/>
        </w:rPr>
        <w:t>.</w:t>
      </w:r>
      <w:r w:rsidRPr="007C2EF4">
        <w:rPr>
          <w:rFonts w:ascii="彩虹粗仿宋" w:eastAsia="彩虹粗仿宋" w:hAnsi="宋体" w:cs="Arial" w:hint="eastAsia"/>
          <w:sz w:val="24"/>
        </w:rPr>
        <w:t>本基金每个交易日日终在扣除股指期货合约需缴纳的交易保证金后，应当</w:t>
      </w:r>
      <w:r w:rsidRPr="007C2EF4">
        <w:rPr>
          <w:rFonts w:ascii="彩虹粗仿宋" w:eastAsia="彩虹粗仿宋" w:hAnsi="宋体" w:cs="Arial"/>
          <w:sz w:val="24"/>
        </w:rPr>
        <w:t>保持不低于基金资产净值5％的现金或者到期日在一年以内的政府债券；</w:t>
      </w:r>
      <w:r w:rsidRPr="007C2EF4">
        <w:rPr>
          <w:rFonts w:ascii="彩虹粗仿宋" w:eastAsia="彩虹粗仿宋" w:hAnsi="宋体" w:cs="Arial" w:hint="eastAsia"/>
          <w:sz w:val="24"/>
        </w:rPr>
        <w:t>其中，现金不包括结算备付金、存出保证金、应收申购款等；</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sidRPr="007C2EF4">
        <w:rPr>
          <w:rFonts w:ascii="彩虹粗仿宋" w:eastAsia="彩虹粗仿宋" w:hAnsi="宋体" w:cs="Arial"/>
          <w:sz w:val="24"/>
        </w:rPr>
        <w:t>本基金持有一家公司</w:t>
      </w:r>
      <w:r w:rsidRPr="007C2EF4">
        <w:rPr>
          <w:rFonts w:ascii="彩虹粗仿宋" w:eastAsia="彩虹粗仿宋" w:hAnsi="宋体" w:cs="Arial" w:hint="eastAsia"/>
          <w:sz w:val="24"/>
        </w:rPr>
        <w:t>发行</w:t>
      </w:r>
      <w:r w:rsidRPr="007C2EF4">
        <w:rPr>
          <w:rFonts w:ascii="彩虹粗仿宋" w:eastAsia="彩虹粗仿宋" w:hAnsi="宋体" w:cs="Arial"/>
          <w:sz w:val="24"/>
        </w:rPr>
        <w:t>的</w:t>
      </w:r>
      <w:r w:rsidRPr="007C2EF4">
        <w:rPr>
          <w:rFonts w:ascii="彩虹粗仿宋" w:eastAsia="彩虹粗仿宋" w:hAnsi="宋体" w:cs="Arial" w:hint="eastAsia"/>
          <w:sz w:val="24"/>
        </w:rPr>
        <w:t>证券（同一家公司在境内和香港同时上市的A+H股合计计算）</w:t>
      </w:r>
      <w:r w:rsidRPr="007C2EF4">
        <w:rPr>
          <w:rFonts w:ascii="彩虹粗仿宋" w:eastAsia="彩虹粗仿宋" w:hAnsi="宋体" w:cs="Arial"/>
          <w:sz w:val="24"/>
        </w:rPr>
        <w:t>，其市值不超过基金资产净值的10％；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7C2EF4">
        <w:rPr>
          <w:rFonts w:ascii="彩虹粗仿宋" w:eastAsia="彩虹粗仿宋" w:hAnsi="宋体" w:cs="Arial"/>
          <w:sz w:val="24"/>
        </w:rPr>
        <w:t>本基金管理人管理的</w:t>
      </w:r>
      <w:r>
        <w:rPr>
          <w:rFonts w:ascii="彩虹粗仿宋" w:eastAsia="彩虹粗仿宋" w:hint="eastAsia"/>
          <w:sz w:val="24"/>
        </w:rPr>
        <w:t>且在本基金托管人处托管的</w:t>
      </w:r>
      <w:r w:rsidRPr="007C2EF4">
        <w:rPr>
          <w:rFonts w:ascii="彩虹粗仿宋" w:eastAsia="彩虹粗仿宋" w:hAnsi="宋体" w:cs="Arial"/>
          <w:sz w:val="24"/>
        </w:rPr>
        <w:t>全部基金持有一家公司发行的证券</w:t>
      </w:r>
      <w:r w:rsidRPr="007C2EF4">
        <w:rPr>
          <w:rFonts w:ascii="彩虹粗仿宋" w:eastAsia="彩虹粗仿宋" w:hAnsi="宋体" w:cs="Arial" w:hint="eastAsia"/>
          <w:sz w:val="24"/>
        </w:rPr>
        <w:t>（同一家公司在境内和香港同时上市的A+H股合计计算）</w:t>
      </w:r>
      <w:r w:rsidRPr="007C2EF4">
        <w:rPr>
          <w:rFonts w:ascii="彩虹粗仿宋" w:eastAsia="彩虹粗仿宋" w:hAnsi="宋体" w:cs="Arial"/>
          <w:sz w:val="24"/>
        </w:rPr>
        <w:t>，不超过该证券的10％；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sidRPr="007C2EF4">
        <w:rPr>
          <w:rFonts w:ascii="彩虹粗仿宋" w:eastAsia="彩虹粗仿宋" w:hAnsi="宋体" w:cs="Arial"/>
          <w:sz w:val="24"/>
        </w:rPr>
        <w:t>本基金投资于同一原始权益人的各类资产支持证券的比例，不得超过基金资产净值的10％；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sidRPr="007C2EF4">
        <w:rPr>
          <w:rFonts w:ascii="彩虹粗仿宋" w:eastAsia="彩虹粗仿宋" w:hAnsi="宋体" w:cs="Arial"/>
          <w:sz w:val="24"/>
        </w:rPr>
        <w:t>本基金持有的全部资产支持证券，其市值不得超过基金资产净值的20％；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sz w:val="24"/>
        </w:rPr>
        <w:t>.</w:t>
      </w:r>
      <w:r w:rsidRPr="007C2EF4">
        <w:rPr>
          <w:rFonts w:ascii="彩虹粗仿宋" w:eastAsia="彩虹粗仿宋" w:hAnsi="宋体" w:cs="Arial"/>
          <w:sz w:val="24"/>
        </w:rPr>
        <w:t>本基金持有的同一(指同一信用级别)资产支持证券的比例，不得超过该资产支持证券规模的10％；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sz w:val="24"/>
        </w:rPr>
        <w:t>.</w:t>
      </w:r>
      <w:r w:rsidRPr="007C2EF4">
        <w:rPr>
          <w:rFonts w:ascii="彩虹粗仿宋" w:eastAsia="彩虹粗仿宋" w:hAnsi="宋体" w:cs="Arial"/>
          <w:sz w:val="24"/>
        </w:rPr>
        <w:t>本基金管理人管理的</w:t>
      </w:r>
      <w:r>
        <w:rPr>
          <w:rFonts w:ascii="彩虹粗仿宋" w:eastAsia="彩虹粗仿宋" w:hint="eastAsia"/>
          <w:sz w:val="24"/>
        </w:rPr>
        <w:t>且在本基金托管人处托管的</w:t>
      </w:r>
      <w:r w:rsidRPr="007C2EF4">
        <w:rPr>
          <w:rFonts w:ascii="彩虹粗仿宋" w:eastAsia="彩虹粗仿宋" w:hAnsi="宋体" w:cs="Arial"/>
          <w:sz w:val="24"/>
        </w:rPr>
        <w:t>全部基金投资于同一原始权益人的各类资产支持证券，不得超过其各类资产支持证券合计规模的10％；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w:t>
      </w:r>
      <w:r w:rsidRPr="007C2EF4">
        <w:rPr>
          <w:rFonts w:ascii="彩虹粗仿宋" w:eastAsia="彩虹粗仿宋" w:hAnsi="宋体" w:cs="Arial"/>
          <w:sz w:val="24"/>
        </w:rPr>
        <w:t>本基金</w:t>
      </w:r>
      <w:r w:rsidRPr="007C2EF4">
        <w:rPr>
          <w:rFonts w:ascii="彩虹粗仿宋" w:eastAsia="彩虹粗仿宋" w:hAnsi="宋体" w:cs="Arial" w:hint="eastAsia"/>
          <w:sz w:val="24"/>
        </w:rPr>
        <w:t>应</w:t>
      </w:r>
      <w:r w:rsidRPr="007C2EF4">
        <w:rPr>
          <w:rFonts w:ascii="彩虹粗仿宋" w:eastAsia="彩虹粗仿宋" w:hAnsi="宋体" w:cs="Arial"/>
          <w:sz w:val="24"/>
        </w:rPr>
        <w:t>投资于信用级别评级为BBB以上(含BBB)的资产支持证券。基金持有资产支持证券期间，如果其信用等级下降、不再符合投资标准，应在评级报告发布之日起3个月内予以全部卖出；</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0.</w:t>
      </w:r>
      <w:r w:rsidRPr="007C2EF4">
        <w:rPr>
          <w:rFonts w:ascii="彩虹粗仿宋" w:eastAsia="彩虹粗仿宋" w:hAnsi="宋体" w:cs="Arial"/>
          <w:sz w:val="24"/>
        </w:rPr>
        <w:t>基金财产参与股票发行申购，本基金所申报的金额不超过本基金的总资产，本基金所申报的股票数量不超过拟发行股票公司本次发行股票的总量；</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sidRPr="007C2EF4">
        <w:rPr>
          <w:rFonts w:ascii="彩虹粗仿宋" w:eastAsia="彩虹粗仿宋" w:hAnsi="宋体" w:cs="Arial"/>
          <w:sz w:val="24"/>
        </w:rPr>
        <w:t>本基金进入全国银行间同业市场进行债券回购的资金余额不得超过基金资产净值的40%</w:t>
      </w:r>
      <w:r w:rsidRPr="007C2EF4">
        <w:rPr>
          <w:rFonts w:ascii="彩虹粗仿宋" w:eastAsia="彩虹粗仿宋" w:hAnsi="宋体" w:cs="Arial" w:hint="eastAsia"/>
          <w:sz w:val="24"/>
        </w:rPr>
        <w:t>，进入全国银行间同业市场进行债券回购的最长期限为1年，债券回购到期后不得展期；</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sidRPr="007C2EF4">
        <w:rPr>
          <w:rFonts w:ascii="彩虹粗仿宋" w:eastAsia="彩虹粗仿宋" w:hAnsi="宋体" w:cs="Arial" w:hint="eastAsia"/>
          <w:sz w:val="24"/>
        </w:rPr>
        <w:t>基金资产总值不得超过基金资产净值的</w:t>
      </w:r>
      <w:r w:rsidRPr="007C2EF4">
        <w:rPr>
          <w:rFonts w:ascii="彩虹粗仿宋" w:eastAsia="彩虹粗仿宋" w:hAnsi="宋体" w:cs="Arial"/>
          <w:sz w:val="24"/>
        </w:rPr>
        <w:t>140%</w:t>
      </w:r>
      <w:r w:rsidRPr="007C2EF4">
        <w:rPr>
          <w:rFonts w:ascii="彩虹粗仿宋" w:eastAsia="彩虹粗仿宋" w:hAnsi="宋体" w:cs="Arial" w:hint="eastAsia"/>
          <w:sz w:val="24"/>
        </w:rPr>
        <w:t>；</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sidRPr="007C2EF4">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本项所规定比例限制的，基金管理人不得主动新增流动性受限资产的投资；</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4.</w:t>
      </w:r>
      <w:r w:rsidRPr="007C2EF4">
        <w:rPr>
          <w:rFonts w:ascii="彩虹粗仿宋" w:eastAsia="彩虹粗仿宋" w:hAnsi="宋体" w:cs="Arial" w:hint="eastAsia"/>
          <w:sz w:val="24"/>
        </w:rPr>
        <w:t>本基金管理人管理的</w:t>
      </w:r>
      <w:r>
        <w:rPr>
          <w:rFonts w:ascii="彩虹粗仿宋" w:eastAsia="彩虹粗仿宋" w:hAnsi="宋体" w:cs="Arial" w:hint="eastAsia"/>
          <w:sz w:val="24"/>
        </w:rPr>
        <w:t>且在本基金托管人处托管的</w:t>
      </w:r>
      <w:r w:rsidRPr="007C2EF4">
        <w:rPr>
          <w:rFonts w:ascii="彩虹粗仿宋" w:eastAsia="彩虹粗仿宋" w:hAnsi="宋体" w:cs="Arial" w:hint="eastAsia"/>
          <w:sz w:val="24"/>
        </w:rPr>
        <w:t>全部开放式基金持有一家上市公司发行的可流通股票，不得超过该上市公司可流通股票的15%；本基金管理人管理的</w:t>
      </w:r>
      <w:r>
        <w:rPr>
          <w:rFonts w:ascii="彩虹粗仿宋" w:eastAsia="彩虹粗仿宋" w:hint="eastAsia"/>
          <w:sz w:val="24"/>
        </w:rPr>
        <w:t>且在本基金托管人处托管的</w:t>
      </w:r>
      <w:r w:rsidRPr="007C2EF4">
        <w:rPr>
          <w:rFonts w:ascii="彩虹粗仿宋" w:eastAsia="彩虹粗仿宋" w:hAnsi="宋体" w:cs="Arial" w:hint="eastAsia"/>
          <w:sz w:val="24"/>
        </w:rPr>
        <w:t>全部投资组合持有一家上市公司发行的可流通股票，不得超过该上市公司可流通股票的30%；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5.</w:t>
      </w:r>
      <w:r w:rsidRPr="007C2EF4">
        <w:rPr>
          <w:rFonts w:ascii="彩虹粗仿宋" w:eastAsia="彩虹粗仿宋" w:hAnsi="宋体" w:cs="Arial" w:hint="eastAsia"/>
          <w:sz w:val="24"/>
        </w:rPr>
        <w:t>本基金参与股指期货交易，应当遵守下列投资比例限制：</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Pr="007C2EF4">
        <w:rPr>
          <w:rFonts w:ascii="彩虹粗仿宋" w:eastAsia="彩虹粗仿宋" w:hAnsi="宋体" w:cs="Arial" w:hint="eastAsia"/>
          <w:sz w:val="24"/>
        </w:rPr>
        <w:t>1）本基金在任何交易日日终，持有的买入股指期货合约价值，不得超过基金资产净值的10%；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C2EF4">
        <w:rPr>
          <w:rFonts w:ascii="彩虹粗仿宋" w:eastAsia="彩虹粗仿宋" w:hAnsi="宋体" w:cs="Arial" w:hint="eastAsia"/>
          <w:sz w:val="24"/>
        </w:rPr>
        <w:t>2）本基金在任何交易日日终，持有的买入</w:t>
      </w:r>
      <w:r>
        <w:rPr>
          <w:rFonts w:ascii="彩虹粗仿宋" w:eastAsia="彩虹粗仿宋" w:hAnsi="宋体" w:cs="Arial" w:hint="eastAsia"/>
          <w:sz w:val="24"/>
        </w:rPr>
        <w:t>股指</w:t>
      </w:r>
      <w:r w:rsidRPr="007C2EF4">
        <w:rPr>
          <w:rFonts w:ascii="彩虹粗仿宋" w:eastAsia="彩虹粗仿宋" w:hAnsi="宋体" w:cs="Arial" w:hint="eastAsia"/>
          <w:sz w:val="24"/>
        </w:rPr>
        <w:t>期货合约价值与有价证券市值之和，不得超过基金资产净值的95%。其中，有价证券指股票、债券（不含到期日在一年以内的政府债券）、资产支持证券、买入返售金融资产（不含质押式回购）等；</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C2EF4">
        <w:rPr>
          <w:rFonts w:ascii="彩虹粗仿宋" w:eastAsia="彩虹粗仿宋" w:hAnsi="宋体" w:cs="Arial" w:hint="eastAsia"/>
          <w:sz w:val="24"/>
        </w:rPr>
        <w:t>3）本基金在任何交易日日终，持有的卖出股指期货合约价值不得超过基金持有的股票总市值的20%；</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C2EF4">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EC1D62" w:rsidRPr="007C2EF4"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C2EF4">
        <w:rPr>
          <w:rFonts w:ascii="彩虹粗仿宋" w:eastAsia="彩虹粗仿宋" w:hAnsi="宋体" w:cs="Arial" w:hint="eastAsia"/>
          <w:sz w:val="24"/>
        </w:rPr>
        <w:t>5）本基金在任何交易日内交易（不包括平仓）的股指期货合约的成交金额不得超过上一交易日基金资产净值的20%；</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sidRPr="007C2EF4">
        <w:rPr>
          <w:rFonts w:ascii="彩虹粗仿宋" w:eastAsia="彩虹粗仿宋" w:hAnsi="宋体" w:cs="Arial" w:hint="eastAsia"/>
          <w:sz w:val="24"/>
        </w:rPr>
        <w:t>本基金投资存托凭证的比例限制依照境内上市交易的股票执行，与境内上市交易的股票合并计算；</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w:t>
      </w:r>
      <w:r>
        <w:rPr>
          <w:rFonts w:ascii="彩虹粗仿宋" w:eastAsia="彩虹粗仿宋" w:hAnsi="宋体" w:cs="Arial"/>
          <w:sz w:val="24"/>
        </w:rPr>
        <w:t>7</w:t>
      </w:r>
      <w:r>
        <w:rPr>
          <w:rFonts w:ascii="彩虹粗仿宋" w:eastAsia="彩虹粗仿宋" w:hAnsi="宋体" w:cs="Arial" w:hint="eastAsia"/>
          <w:sz w:val="24"/>
        </w:rPr>
        <w:t>.</w:t>
      </w:r>
      <w:r>
        <w:rPr>
          <w:rFonts w:ascii="彩虹粗仿宋" w:eastAsia="彩虹粗仿宋" w:hint="eastAsia"/>
          <w:sz w:val="24"/>
        </w:rPr>
        <w:t xml:space="preserve"> 法律法规及中国证监会规定的和《基金合同》约定的其他投资限制。</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int="eastAsia"/>
          <w:sz w:val="24"/>
        </w:rPr>
        <w:t>除上述第2、9、13项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2" w:name="OLE_LINK1"/>
      <w:r>
        <w:rPr>
          <w:rFonts w:ascii="彩虹粗仿宋" w:eastAsia="彩虹粗仿宋" w:hAnsi="宋体" w:cs="Arial" w:hint="eastAsia"/>
          <w:sz w:val="24"/>
        </w:rPr>
        <w:t>根据有关法律法规的规定及《基金合同》的约定，</w:t>
      </w:r>
      <w:bookmarkEnd w:id="12"/>
      <w:r>
        <w:rPr>
          <w:rFonts w:ascii="彩虹粗仿宋" w:eastAsia="彩虹粗仿宋" w:hAnsi="宋体" w:cs="Arial" w:hint="eastAsia"/>
          <w:sz w:val="24"/>
        </w:rPr>
        <w:t>对本托管协议第十五条第（九）款基金投资禁止行为通过</w:t>
      </w:r>
      <w:r w:rsidRPr="007C2EF4">
        <w:rPr>
          <w:rFonts w:ascii="彩虹粗仿宋" w:eastAsia="彩虹粗仿宋" w:hAnsi="宋体" w:cs="Arial" w:hint="eastAsia"/>
          <w:sz w:val="24"/>
          <w:highlight w:val="yellow"/>
        </w:rPr>
        <w:t>事后监督</w:t>
      </w:r>
      <w:r>
        <w:rPr>
          <w:rFonts w:ascii="彩虹粗仿宋" w:eastAsia="彩虹粗仿宋" w:hAnsi="宋体" w:cs="Arial" w:hint="eastAsia"/>
          <w:sz w:val="24"/>
        </w:rPr>
        <w:t>方式进行监督。</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C1D62" w:rsidRDefault="00EC1D62" w:rsidP="00EC1D6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w:t>
      </w:r>
      <w:r>
        <w:rPr>
          <w:rFonts w:ascii="彩虹粗仿宋" w:eastAsia="彩虹粗仿宋" w:hAnsi="宋体" w:cs="Arial" w:hint="eastAsia"/>
          <w:sz w:val="24"/>
        </w:rPr>
        <w:lastRenderedPageBreak/>
        <w:t>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C1D62" w:rsidRDefault="00EC1D62" w:rsidP="00EC1D62">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C1D62" w:rsidRDefault="00EC1D62" w:rsidP="00EC1D62">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w:t>
      </w:r>
      <w:r>
        <w:rPr>
          <w:rFonts w:ascii="彩虹粗仿宋" w:eastAsia="彩虹粗仿宋" w:hint="eastAsia"/>
          <w:sz w:val="24"/>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rsidR="00EC1D62" w:rsidRDefault="00EC1D62" w:rsidP="00EC1D62">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C1D62" w:rsidRDefault="00EC1D62" w:rsidP="00EC1D62">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w:t>
      </w:r>
      <w:r>
        <w:rPr>
          <w:rFonts w:ascii="彩虹粗仿宋" w:eastAsia="彩虹粗仿宋" w:hint="eastAsia"/>
          <w:sz w:val="24"/>
        </w:rPr>
        <w:lastRenderedPageBreak/>
        <w:t>记结算有限责任公司签订的证券登记及服务协议。</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rsidR="00EC1D62" w:rsidRDefault="00EC1D62" w:rsidP="00EC1D62">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rsidR="00EC1D62" w:rsidRDefault="00EC1D62" w:rsidP="00EC1D62">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（3）有关比例限制的执行情况。</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（4）信息披露情况。</w:t>
      </w:r>
    </w:p>
    <w:p w:rsidR="00EC1D62" w:rsidRDefault="00EC1D62" w:rsidP="00EC1D62">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w:t>
      </w:r>
      <w:r>
        <w:rPr>
          <w:rFonts w:ascii="彩虹粗仿宋" w:eastAsia="彩虹粗仿宋" w:hAnsi="宋体"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侧袋机制实施期间，本基金的投资组合比例、投资策略、组合限制、业绩比较基准、风险收益特征等约定仅适用于主袋账户。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p>
    <w:p w:rsidR="00EC1D62" w:rsidRDefault="00EC1D62" w:rsidP="00EC1D62">
      <w:pPr>
        <w:adjustRightInd w:val="0"/>
        <w:snapToGrid w:val="0"/>
        <w:ind w:firstLineChars="200" w:firstLine="480"/>
        <w:rPr>
          <w:rFonts w:ascii="彩虹粗仿宋" w:eastAsia="彩虹粗仿宋" w:hAnsi="宋体" w:cs="Arial"/>
          <w:sz w:val="24"/>
        </w:rPr>
      </w:pPr>
    </w:p>
    <w:p w:rsidR="00EC1D62" w:rsidRDefault="00EC1D62" w:rsidP="00EC1D62">
      <w:pPr>
        <w:rPr>
          <w:rFonts w:ascii="彩虹粗仿宋" w:eastAsia="彩虹粗仿宋"/>
          <w:sz w:val="24"/>
        </w:rPr>
      </w:pPr>
    </w:p>
    <w:p w:rsidR="00EC1D62" w:rsidRDefault="00EC1D62" w:rsidP="00EC1D62">
      <w:pPr>
        <w:pStyle w:val="2"/>
        <w:jc w:val="center"/>
        <w:rPr>
          <w:rFonts w:ascii="彩虹粗仿宋" w:eastAsia="彩虹粗仿宋"/>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24325888"/>
      <w:r>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w:t>
      </w:r>
      <w:r>
        <w:rPr>
          <w:rFonts w:ascii="彩虹粗仿宋" w:eastAsia="彩虹粗仿宋" w:hAnsi="宋体" w:cs="Arial" w:hint="eastAsia"/>
          <w:sz w:val="24"/>
        </w:rPr>
        <w:lastRenderedPageBreak/>
        <w:t>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C1D62" w:rsidRDefault="00EC1D62" w:rsidP="00EC1D62">
      <w:pPr>
        <w:rPr>
          <w:rFonts w:ascii="彩虹粗仿宋" w:eastAsia="彩虹粗仿宋"/>
          <w:sz w:val="24"/>
        </w:rPr>
      </w:pPr>
    </w:p>
    <w:p w:rsidR="00EC1D62" w:rsidRDefault="00EC1D62" w:rsidP="00EC1D62">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w:t>
      </w:r>
      <w:r>
        <w:rPr>
          <w:rFonts w:ascii="彩虹粗仿宋" w:eastAsia="彩虹粗仿宋" w:hAnsi="宋体" w:cs="Arial" w:hint="eastAsia"/>
          <w:sz w:val="24"/>
        </w:rPr>
        <w:lastRenderedPageBreak/>
        <w:t>的“基金募集专户”。该账户由基金管理人开立并管理。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EC1D62" w:rsidRDefault="00EC1D62" w:rsidP="00EC1D6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w:t>
      </w:r>
      <w:r>
        <w:rPr>
          <w:rFonts w:ascii="彩虹粗仿宋" w:eastAsia="彩虹粗仿宋" w:hAnsi="宋体" w:cs="Arial" w:hint="eastAsia"/>
          <w:sz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rsidR="00EC1D62" w:rsidRDefault="00EC1D62" w:rsidP="00EC1D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对于无法取得二份以上的正本的，基金管理人应向基金托管人提供合同传真件并加盖公章，未经双方协商一致，合同原件不得转移。</w:t>
      </w:r>
    </w:p>
    <w:p w:rsidR="00EC1D62" w:rsidRDefault="00EC1D62" w:rsidP="00EC1D62">
      <w:pPr>
        <w:rPr>
          <w:rFonts w:ascii="彩虹粗仿宋" w:eastAsia="彩虹粗仿宋"/>
          <w:sz w:val="24"/>
        </w:rPr>
      </w:pPr>
    </w:p>
    <w:p w:rsidR="00EC1D62" w:rsidRDefault="00EC1D62" w:rsidP="00EC1D62">
      <w:pPr>
        <w:adjustRightInd w:val="0"/>
        <w:snapToGrid w:val="0"/>
        <w:rPr>
          <w:rFonts w:ascii="彩虹粗仿宋" w:eastAsia="彩虹粗仿宋"/>
          <w:sz w:val="30"/>
          <w:szCs w:val="30"/>
        </w:rPr>
      </w:pPr>
    </w:p>
    <w:p w:rsidR="00EC1D62" w:rsidRDefault="00EC1D62" w:rsidP="00EC1D62">
      <w:pPr>
        <w:rPr>
          <w:rFonts w:ascii="彩虹粗仿宋" w:eastAsia="彩虹粗仿宋"/>
          <w:sz w:val="24"/>
        </w:rPr>
      </w:pPr>
    </w:p>
    <w:p w:rsidR="00EC1D62" w:rsidRDefault="00EC1D62" w:rsidP="00EC1D62">
      <w:pPr>
        <w:pStyle w:val="2"/>
        <w:jc w:val="center"/>
        <w:rPr>
          <w:rFonts w:ascii="彩虹粗仿宋" w:eastAsia="彩虹粗仿宋"/>
          <w:sz w:val="30"/>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Pr>
          <w:rFonts w:ascii="彩虹粗仿宋" w:eastAsia="彩虹粗仿宋" w:hint="eastAsia"/>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基金管理人发送指令应采用加密传真方式或双方协商一致的其他方式。</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EC1D62" w:rsidRDefault="00EC1D62" w:rsidP="00EC1D62">
      <w:pPr>
        <w:pStyle w:val="ae"/>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EC1D62" w:rsidRDefault="00EC1D62" w:rsidP="00EC1D62">
      <w:pPr>
        <w:pStyle w:val="ae"/>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Pr>
          <w:rFonts w:ascii="彩虹粗仿宋" w:eastAsia="彩虹粗仿宋" w:hint="eastAsia"/>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w:t>
      </w:r>
      <w:r>
        <w:rPr>
          <w:rFonts w:ascii="彩虹粗仿宋" w:eastAsia="彩虹粗仿宋" w:hAnsi="宋体" w:cs="Arial" w:hint="eastAsia"/>
          <w:sz w:val="24"/>
        </w:rPr>
        <w:lastRenderedPageBreak/>
        <w:t>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因相关法律法规或交易规则的修改带来的变化以届时有效的法律法规和相关交易规则为准。</w:t>
      </w:r>
    </w:p>
    <w:p w:rsidR="00EC1D62" w:rsidRDefault="00EC1D62" w:rsidP="00EC1D62">
      <w:pPr>
        <w:adjustRightInd w:val="0"/>
        <w:snapToGrid w:val="0"/>
        <w:ind w:firstLineChars="200" w:firstLine="480"/>
        <w:rPr>
          <w:rFonts w:ascii="彩虹粗仿宋" w:eastAsia="彩虹粗仿宋" w:hAnsi="宋体" w:cs="Arial"/>
          <w:i/>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EC1D62" w:rsidRDefault="00EC1D62" w:rsidP="00EC1D62">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EC1D62" w:rsidRDefault="00EC1D62" w:rsidP="00EC1D62">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w:t>
      </w:r>
      <w:r>
        <w:rPr>
          <w:rFonts w:ascii="彩虹粗仿宋" w:eastAsia="彩虹粗仿宋" w:hAnsi="宋体" w:cs="Arial" w:hint="eastAsia"/>
          <w:sz w:val="24"/>
        </w:rPr>
        <w:lastRenderedPageBreak/>
        <w:t>管理人预透支和预欠库事项，基金管理人应保持联系方式畅通，后续补缴等事宜由基金管理人负责解决，由此给基金托管人、本基金和基金托管人托管的其他资产造成的直接损失由基金管理人承担。</w:t>
      </w:r>
    </w:p>
    <w:p w:rsidR="00EC1D62" w:rsidRDefault="00EC1D62" w:rsidP="00EC1D62">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C1D62" w:rsidRDefault="00EC1D62" w:rsidP="00EC1D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C1D62" w:rsidRDefault="00EC1D62" w:rsidP="00EC1D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rsidR="00EC1D62" w:rsidRDefault="00EC1D62" w:rsidP="00EC1D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C1D62" w:rsidRDefault="00EC1D62" w:rsidP="00EC1D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EC1D62" w:rsidRDefault="00EC1D62" w:rsidP="00EC1D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EC1D62" w:rsidRDefault="00EC1D62" w:rsidP="00EC1D62">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w:t>
      </w:r>
      <w:r>
        <w:rPr>
          <w:rFonts w:ascii="彩虹粗仿宋" w:eastAsia="彩虹粗仿宋" w:hAnsi="宋体" w:cs="Arial" w:hint="eastAsia"/>
          <w:sz w:val="24"/>
        </w:rPr>
        <w:lastRenderedPageBreak/>
        <w:t>付以及存款证实书的接收、保管与交付，切实履行托管职责。托管人负责对存款开户证实书进行保管，不负责对存款开户证实书真伪的辨别，不承担存款开户证实书对应存款的本金及收益的安全。</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rsidR="00EC1D62" w:rsidRDefault="00EC1D62" w:rsidP="00EC1D62">
      <w:pPr>
        <w:adjustRightInd w:val="0"/>
        <w:snapToGrid w:val="0"/>
        <w:ind w:firstLineChars="200" w:firstLine="48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93" w:name="_Toc124325892"/>
      <w:r>
        <w:rPr>
          <w:rFonts w:ascii="彩虹粗仿宋" w:eastAsia="彩虹粗仿宋" w:hint="eastAsia"/>
          <w:sz w:val="30"/>
        </w:rPr>
        <w:t xml:space="preserve"> 八、基金资产净值计算和会计核算</w:t>
      </w:r>
      <w:bookmarkEnd w:id="93"/>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基金管理人可以设立大额赎回情形下的净值精度应急调整机制。国家另有规定的，从其规定。</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基金管理人每个工作日计算基金资产净值及基金份额净值，并按规定公告。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EC1D62" w:rsidRDefault="00EC1D62" w:rsidP="00EC1D62">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基金所拥有的股票、股指期货、债券和银行存款本息、应收款项、其它投资等资产及负债。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w:t>
      </w:r>
      <w:r>
        <w:rPr>
          <w:rFonts w:ascii="彩虹粗仿宋" w:eastAsia="彩虹粗仿宋" w:hAnsi="宋体" w:cs="Arial" w:hint="eastAsia"/>
          <w:sz w:val="24"/>
        </w:rPr>
        <w:lastRenderedPageBreak/>
        <w:t>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（4）同一证券同时在两个或两个以上市场交易的，按证券所处的市场分别估值。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（5）存款的估值方法</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（6）本基金投资期货合约，一般以估值当日结算价进行估值，估值当日无结算价的，且最近交易日后经济环境未发生重大变化的，采用最近交易日结算价估值。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（7）估值计算中涉及港币对人民币汇率的，将依据下列信息提供机构所提供的汇率为基准：当日中国人民银行公布的人民币与港币的中间价。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（9）本基金投资存托凭证的估值核算，依照境内上市交易的股票进行。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1）当发生大额申购或赎回情形时，基金管理人可以采用摆动定价机制，以确保基金估值的公平性。</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（12）相关法律法规以及监管部门有强制规定的，从其规定。如有新增事项，按国家最新规定估值。</w:t>
      </w:r>
    </w:p>
    <w:p w:rsidR="00EC1D62" w:rsidRDefault="00EC1D62" w:rsidP="00EC1D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EC1D62" w:rsidRDefault="00EC1D62" w:rsidP="00EC1D62">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EC1D62" w:rsidRDefault="00EC1D62" w:rsidP="00EC1D62">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EC1D62" w:rsidRDefault="00EC1D62" w:rsidP="00EC1D62">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基金管理人、基金托管人按估值方法的第(10)项进行估值时，所造成的误差不作为基金份</w:t>
      </w:r>
      <w:r>
        <w:rPr>
          <w:rStyle w:val="read"/>
          <w:rFonts w:ascii="彩虹粗仿宋" w:eastAsia="彩虹粗仿宋" w:hint="eastAsia"/>
          <w:sz w:val="24"/>
        </w:rPr>
        <w:t>额净值错误处理。</w:t>
      </w:r>
    </w:p>
    <w:p w:rsidR="00EC1D62" w:rsidRDefault="00EC1D62" w:rsidP="00EC1D6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EC1D62" w:rsidRDefault="00EC1D62" w:rsidP="00EC1D6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Fonts w:ascii="彩虹粗仿宋" w:eastAsia="彩虹粗仿宋" w:hint="eastAsia"/>
          <w:sz w:val="24"/>
          <w:szCs w:val="21"/>
        </w:rPr>
        <w:t>，</w:t>
      </w:r>
      <w:r>
        <w:rPr>
          <w:rFonts w:ascii="彩虹粗仿宋" w:eastAsia="彩虹粗仿宋"/>
          <w:sz w:val="24"/>
          <w:szCs w:val="21"/>
        </w:rPr>
        <w:t>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C1D62" w:rsidRDefault="00EC1D62" w:rsidP="00EC1D6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C1D62" w:rsidRDefault="00EC1D62" w:rsidP="00EC1D62">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w:t>
      </w:r>
      <w:r>
        <w:rPr>
          <w:rFonts w:ascii="彩虹粗仿宋" w:eastAsia="彩虹粗仿宋" w:hAnsi="宋体" w:cs="Arial" w:hint="eastAsia"/>
          <w:sz w:val="24"/>
        </w:rPr>
        <w:lastRenderedPageBreak/>
        <w:t>理人负责赔付。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w:t>
      </w:r>
      <w:r>
        <w:rPr>
          <w:rFonts w:ascii="彩虹粗仿宋" w:eastAsia="彩虹粗仿宋" w:hAnsi="宋体" w:cs="Arial"/>
          <w:sz w:val="24"/>
        </w:rPr>
        <w:t>期货</w:t>
      </w:r>
      <w:r>
        <w:rPr>
          <w:rFonts w:ascii="彩虹粗仿宋" w:eastAsia="彩虹粗仿宋" w:hAnsi="宋体" w:cs="Arial" w:hint="eastAsia"/>
          <w:sz w:val="24"/>
        </w:rPr>
        <w:t>交易所、登记结算公司及存款银行等第三方机构发送的数据错误，或国家会计政策变更、市场规则变更或由于其他不可抗力等非基金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（四）暂停估值的情形</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3.当特定资产占前一估值日基金资产净值 50%以上的，经与基金托管人协商确认后，基金管理人</w:t>
      </w:r>
      <w:r>
        <w:rPr>
          <w:rFonts w:ascii="彩虹粗仿宋" w:eastAsia="彩虹粗仿宋" w:hAnsi="宋体" w:cs="Arial"/>
          <w:sz w:val="24"/>
        </w:rPr>
        <w:t>应当暂停估值</w:t>
      </w:r>
      <w:r>
        <w:rPr>
          <w:rFonts w:ascii="彩虹粗仿宋" w:eastAsia="彩虹粗仿宋" w:hAnsi="宋体" w:cs="Arial" w:hint="eastAsia"/>
          <w:sz w:val="24"/>
        </w:rPr>
        <w:t>；</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 法律法规、中国证监会和《基金合同》认定的其他情形。</w:t>
      </w:r>
    </w:p>
    <w:p w:rsidR="00EC1D62" w:rsidRPr="00A66B38" w:rsidRDefault="00EC1D62" w:rsidP="00EC1D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w:t>
      </w:r>
      <w:r w:rsidRPr="00A66B38">
        <w:rPr>
          <w:rFonts w:ascii="彩虹粗仿宋" w:eastAsia="彩虹粗仿宋" w:hAnsi="宋体" w:cs="Arial" w:hint="eastAsia"/>
          <w:sz w:val="24"/>
        </w:rPr>
        <w:t>实施侧袋机制期间的基金资产估值</w:t>
      </w:r>
    </w:p>
    <w:p w:rsidR="00EC1D62" w:rsidRPr="00A66B38" w:rsidRDefault="00EC1D62" w:rsidP="00EC1D62">
      <w:pPr>
        <w:pStyle w:val="a0"/>
        <w:adjustRightInd w:val="0"/>
        <w:snapToGrid w:val="0"/>
        <w:ind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本基金实施侧袋机制的，应根据本部分的约定对主袋账户资产进行估值并披露主袋账户的基金</w:t>
      </w:r>
      <w:r>
        <w:rPr>
          <w:rFonts w:ascii="彩虹粗仿宋" w:eastAsia="彩虹粗仿宋" w:hAnsi="宋体" w:cs="Arial" w:hint="eastAsia"/>
          <w:sz w:val="24"/>
        </w:rPr>
        <w:t>净值信息</w:t>
      </w:r>
      <w:r w:rsidRPr="00A66B38">
        <w:rPr>
          <w:rFonts w:ascii="彩虹粗仿宋" w:eastAsia="彩虹粗仿宋" w:hAnsi="宋体" w:cs="Arial" w:hint="eastAsia"/>
          <w:sz w:val="24"/>
        </w:rPr>
        <w:t>，暂停披露侧袋账户份额净值。</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基金财务报表由基金管理人编制，基金托管人复核。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rsidR="00EC1D62" w:rsidRDefault="00EC1D62" w:rsidP="00EC1D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EC1D62" w:rsidRDefault="00EC1D62" w:rsidP="00EC1D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C1D62" w:rsidRDefault="00EC1D62" w:rsidP="00EC1D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EC1D62" w:rsidRDefault="00EC1D62" w:rsidP="00EC1D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EC1D62" w:rsidRDefault="00EC1D62" w:rsidP="00EC1D62">
      <w:pPr>
        <w:pStyle w:val="a0"/>
        <w:adjustRightInd w:val="0"/>
        <w:snapToGrid w:val="0"/>
        <w:ind w:firstLineChars="0" w:firstLine="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94" w:name="_Toc124325893"/>
      <w:r>
        <w:rPr>
          <w:rFonts w:ascii="彩虹粗仿宋" w:eastAsia="彩虹粗仿宋" w:hint="eastAsia"/>
          <w:sz w:val="30"/>
        </w:rPr>
        <w:t>九、基金收益分配</w:t>
      </w:r>
      <w:bookmarkEnd w:id="94"/>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w:t>
      </w:r>
      <w:r>
        <w:rPr>
          <w:rFonts w:ascii="彩虹粗仿宋" w:eastAsia="彩虹粗仿宋" w:hAnsi="宋体" w:cs="Arial" w:hint="eastAsia"/>
          <w:sz w:val="24"/>
        </w:rPr>
        <w:lastRenderedPageBreak/>
        <w:t>份额净值减去每单位基金份额收益分配金额后不能低于面值；</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C1D62" w:rsidRPr="00A66B38" w:rsidRDefault="00EC1D62" w:rsidP="00EC1D62">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（三）实施侧袋机制期间的收益分配</w:t>
      </w:r>
    </w:p>
    <w:p w:rsidR="00EC1D62" w:rsidRDefault="00EC1D62" w:rsidP="00EC1D62">
      <w:pPr>
        <w:adjustRightInd w:val="0"/>
        <w:snapToGrid w:val="0"/>
        <w:rPr>
          <w:rFonts w:ascii="彩虹粗仿宋" w:eastAsia="彩虹粗仿宋" w:hAnsi="宋体" w:cs="Arial"/>
          <w:sz w:val="24"/>
        </w:rPr>
      </w:pPr>
      <w:r w:rsidRPr="00A66B38">
        <w:rPr>
          <w:rFonts w:ascii="彩虹粗仿宋" w:eastAsia="彩虹粗仿宋" w:hAnsi="宋体" w:cs="Arial" w:hint="eastAsia"/>
          <w:sz w:val="24"/>
        </w:rPr>
        <w:t>本基金实施侧袋机制的，侧袋账户不进行收益分配，详见招募说明书的规定。</w:t>
      </w:r>
    </w:p>
    <w:p w:rsidR="00EC1D62" w:rsidRDefault="00EC1D62" w:rsidP="00EC1D62">
      <w:pPr>
        <w:pStyle w:val="2"/>
        <w:jc w:val="center"/>
        <w:rPr>
          <w:rFonts w:ascii="彩虹粗仿宋" w:eastAsia="彩虹粗仿宋"/>
          <w:sz w:val="30"/>
        </w:rPr>
      </w:pPr>
      <w:bookmarkStart w:id="95" w:name="_Toc124325894"/>
      <w:r>
        <w:rPr>
          <w:rFonts w:ascii="彩虹粗仿宋" w:eastAsia="彩虹粗仿宋" w:hint="eastAsia"/>
          <w:sz w:val="30"/>
        </w:rPr>
        <w:t>十、基金信息披露</w:t>
      </w:r>
      <w:bookmarkEnd w:id="95"/>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EC1D62" w:rsidRDefault="00EC1D62" w:rsidP="00EC1D62">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w:t>
      </w:r>
      <w:r>
        <w:rPr>
          <w:rFonts w:ascii="彩虹粗仿宋" w:eastAsia="彩虹粗仿宋" w:hAnsi="宋体" w:cs="Arial" w:hint="eastAsia"/>
          <w:sz w:val="24"/>
        </w:rPr>
        <w:lastRenderedPageBreak/>
        <w:t>净值信息、基金份额申购、赎回价格、基金定期报告、包括基金年度报告、基金中期报告和基金季度报告、临时报告、澄清公告、基金份额持有人大会决议、基金</w:t>
      </w:r>
      <w:r>
        <w:rPr>
          <w:rFonts w:ascii="彩虹粗仿宋" w:eastAsia="彩虹粗仿宋" w:hAnsi="宋体" w:cs="Arial"/>
          <w:sz w:val="24"/>
        </w:rPr>
        <w:t>投资股指期货、资产支持证券、流通受限证券</w:t>
      </w:r>
      <w:r>
        <w:rPr>
          <w:rFonts w:ascii="彩虹粗仿宋" w:eastAsia="彩虹粗仿宋" w:hAnsi="宋体" w:cs="Arial" w:hint="eastAsia"/>
          <w:sz w:val="24"/>
        </w:rPr>
        <w:t>、港股通标的股票</w:t>
      </w:r>
      <w:r>
        <w:rPr>
          <w:rFonts w:ascii="彩虹粗仿宋" w:eastAsia="彩虹粗仿宋" w:hAnsi="宋体" w:cs="Arial"/>
          <w:sz w:val="24"/>
        </w:rPr>
        <w:t>的信息披露</w:t>
      </w:r>
      <w:r>
        <w:rPr>
          <w:rFonts w:ascii="彩虹粗仿宋" w:eastAsia="彩虹粗仿宋" w:hAnsi="宋体" w:cs="Arial" w:hint="eastAsia"/>
          <w:sz w:val="24"/>
        </w:rPr>
        <w:t>、清算报告、实施侧袋机制期间的信息披露</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中国证监会规定的其他信息。基金年度报告中的财务会计报告需经符合《中华人民共和国证券法》规定的会计师事务所审计后，方可披露。</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（1）因不可抗力或其他情形致使基金管理人、基金托管人无法准确评估基金资产价值时；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（2）基金投资所涉及的证券、期货交易市场遇法定节假日或因其他原因暂停营业时；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（3）发生基金合同约定的暂停估值的情形；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3.信息文本的存放</w:t>
      </w:r>
    </w:p>
    <w:p w:rsidR="00EC1D62" w:rsidRDefault="00EC1D62" w:rsidP="00EC1D62">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C1D62" w:rsidRPr="00A66B38" w:rsidRDefault="00EC1D62" w:rsidP="00EC1D62">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（四）实施侧袋机制期间的信息披露</w:t>
      </w:r>
    </w:p>
    <w:p w:rsidR="00EC1D62" w:rsidRPr="00A66B38" w:rsidRDefault="00EC1D62" w:rsidP="00EC1D62">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rsidR="00EC1D62" w:rsidRPr="00CD23DD" w:rsidRDefault="00EC1D62" w:rsidP="00EC1D62">
      <w:pPr>
        <w:pStyle w:val="a0"/>
        <w:ind w:firstLineChars="0" w:firstLine="0"/>
        <w:rPr>
          <w:rFonts w:ascii="彩虹粗仿宋" w:eastAsia="彩虹粗仿宋" w:hAnsi="宋体" w:cs="Arial"/>
          <w:sz w:val="24"/>
        </w:rPr>
      </w:pPr>
    </w:p>
    <w:p w:rsidR="00EC1D62" w:rsidRPr="00B34BD2" w:rsidRDefault="00EC1D62" w:rsidP="00EC1D62">
      <w:pPr>
        <w:pStyle w:val="a0"/>
        <w:ind w:firstLineChars="0" w:firstLine="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96" w:name="_Toc124325895"/>
      <w:r>
        <w:rPr>
          <w:rFonts w:ascii="彩虹粗仿宋" w:eastAsia="彩虹粗仿宋" w:hint="eastAsia"/>
          <w:sz w:val="30"/>
        </w:rPr>
        <w:t>十一、基金费用</w:t>
      </w:r>
      <w:bookmarkEnd w:id="96"/>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w:t>
      </w:r>
      <w:r>
        <w:rPr>
          <w:rFonts w:ascii="彩虹粗仿宋" w:eastAsia="彩虹粗仿宋" w:hAnsi="宋体" w:cs="Arial"/>
          <w:sz w:val="24"/>
        </w:rPr>
        <w:t>期货</w:t>
      </w:r>
      <w:r>
        <w:rPr>
          <w:rFonts w:ascii="彩虹粗仿宋" w:eastAsia="彩虹粗仿宋" w:hAnsi="宋体" w:cs="Arial" w:hint="eastAsia"/>
          <w:sz w:val="24"/>
        </w:rPr>
        <w:t>账户开户费用、证券、</w:t>
      </w:r>
      <w:r>
        <w:rPr>
          <w:rFonts w:ascii="彩虹粗仿宋" w:eastAsia="彩虹粗仿宋" w:hAnsi="宋体" w:cs="Arial"/>
          <w:sz w:val="24"/>
        </w:rPr>
        <w:t>期货</w:t>
      </w:r>
      <w:r>
        <w:rPr>
          <w:rFonts w:ascii="彩虹粗仿宋" w:eastAsia="彩虹粗仿宋" w:hAnsi="宋体" w:cs="Arial" w:hint="eastAsia"/>
          <w:sz w:val="24"/>
        </w:rPr>
        <w:t>交易结算费用、</w:t>
      </w:r>
      <w:r w:rsidRPr="007C2EF4">
        <w:rPr>
          <w:rFonts w:ascii="彩虹粗仿宋" w:eastAsia="彩虹粗仿宋" w:hAnsi="宋体" w:cs="Arial" w:hint="eastAsia"/>
          <w:sz w:val="24"/>
        </w:rPr>
        <w:t>因投资港股通标的股票而产生的各项合理费用、</w:t>
      </w:r>
      <w:r>
        <w:rPr>
          <w:rFonts w:ascii="彩虹粗仿宋" w:eastAsia="彩虹粗仿宋" w:hAnsi="宋体" w:cs="Arial" w:hint="eastAsia"/>
          <w:sz w:val="24"/>
        </w:rPr>
        <w:t>基金的银行汇划费用、账户维护费、《基金合同》生效后与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w:t>
      </w:r>
      <w:r>
        <w:rPr>
          <w:rFonts w:ascii="彩虹粗仿宋" w:eastAsia="彩虹粗仿宋" w:hAnsi="宋体" w:cs="Arial"/>
          <w:sz w:val="24"/>
        </w:rPr>
        <w:t>仲裁费和诉讼费</w:t>
      </w:r>
      <w:r>
        <w:rPr>
          <w:rFonts w:ascii="彩虹粗仿宋" w:eastAsia="彩虹粗仿宋" w:hAnsi="宋体" w:cs="Arial" w:hint="eastAsia"/>
          <w:sz w:val="24"/>
        </w:rPr>
        <w:t>等根据有关法律法规、《基金合同》及相应协议的规定，列入当期基金费用。</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C1D62" w:rsidRPr="00A66B38" w:rsidRDefault="00EC1D62" w:rsidP="00EC1D62">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（七）实施侧袋机制期间的基金费用</w:t>
      </w:r>
    </w:p>
    <w:p w:rsidR="00EC1D62" w:rsidRPr="00CD23DD" w:rsidRDefault="00EC1D62" w:rsidP="00EC1D62">
      <w:pPr>
        <w:adjustRightInd w:val="0"/>
        <w:snapToGrid w:val="0"/>
        <w:rPr>
          <w:rFonts w:ascii="彩虹粗仿宋" w:eastAsia="彩虹粗仿宋" w:hAnsi="宋体" w:cs="Arial"/>
          <w:sz w:val="24"/>
        </w:rPr>
      </w:pPr>
      <w:r w:rsidRPr="00A66B3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EC1D62" w:rsidRPr="00311D2C"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97" w:name="_Toc124325896"/>
      <w:r>
        <w:rPr>
          <w:rFonts w:ascii="彩虹粗仿宋" w:eastAsia="彩虹粗仿宋" w:hint="eastAsia"/>
          <w:sz w:val="30"/>
        </w:rPr>
        <w:t>十二、基金份额持有人名册的保管</w:t>
      </w:r>
      <w:bookmarkEnd w:id="97"/>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定最低期限。如不能妥善保管，则按相关法规承担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w:t>
      </w:r>
      <w:r>
        <w:rPr>
          <w:rFonts w:ascii="彩虹粗仿宋" w:eastAsia="彩虹粗仿宋" w:hAnsi="宋体" w:cs="Arial" w:hint="eastAsia"/>
          <w:sz w:val="24"/>
        </w:rPr>
        <w:lastRenderedPageBreak/>
        <w:t>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98" w:name="_Toc124325897"/>
      <w:r>
        <w:rPr>
          <w:rFonts w:ascii="彩虹粗仿宋" w:eastAsia="彩虹粗仿宋" w:hint="eastAsia"/>
          <w:sz w:val="30"/>
        </w:rPr>
        <w:t>十三、基金有关文件档案的保存</w:t>
      </w:r>
      <w:bookmarkEnd w:id="98"/>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EC1D62" w:rsidRDefault="00EC1D62" w:rsidP="00EC1D62">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rsidR="00EC1D62" w:rsidRDefault="00EC1D62" w:rsidP="00EC1D62">
      <w:pPr>
        <w:adjustRightInd w:val="0"/>
        <w:snapToGrid w:val="0"/>
        <w:rPr>
          <w:rFonts w:ascii="彩虹粗仿宋" w:eastAsia="彩虹粗仿宋"/>
          <w:sz w:val="30"/>
          <w:szCs w:val="30"/>
        </w:rPr>
      </w:pPr>
    </w:p>
    <w:p w:rsidR="00EC1D62" w:rsidRDefault="00EC1D62" w:rsidP="00EC1D62">
      <w:pPr>
        <w:pStyle w:val="2"/>
        <w:jc w:val="center"/>
        <w:rPr>
          <w:rFonts w:ascii="彩虹粗仿宋" w:eastAsia="彩虹粗仿宋"/>
          <w:sz w:val="30"/>
        </w:rPr>
      </w:pPr>
      <w:bookmarkStart w:id="99" w:name="_Toc124325898"/>
      <w:r>
        <w:rPr>
          <w:rFonts w:ascii="彩虹粗仿宋" w:eastAsia="彩虹粗仿宋" w:hint="eastAsia"/>
          <w:sz w:val="30"/>
        </w:rPr>
        <w:t>十四、基金管理人和基金托管人的更换</w:t>
      </w:r>
      <w:bookmarkEnd w:id="99"/>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rsidR="00EC1D62" w:rsidRDefault="00EC1D62" w:rsidP="00EC1D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2日内在规定媒介公告；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100" w:name="_Toc124325899"/>
      <w:r>
        <w:rPr>
          <w:rFonts w:ascii="彩虹粗仿宋" w:eastAsia="彩虹粗仿宋" w:hint="eastAsia"/>
          <w:sz w:val="30"/>
        </w:rPr>
        <w:t>十五、禁止行为</w:t>
      </w:r>
      <w:bookmarkEnd w:id="100"/>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EC1D62" w:rsidRDefault="00EC1D62" w:rsidP="00EC1D62">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rsidR="00EC1D62" w:rsidRDefault="00EC1D62" w:rsidP="00EC1D62">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EC1D62" w:rsidRDefault="00EC1D62" w:rsidP="00EC1D62">
      <w:pPr>
        <w:pStyle w:val="ae"/>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EC1D62" w:rsidRDefault="00EC1D62" w:rsidP="00EC1D62">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C1D62" w:rsidRDefault="00EC1D62" w:rsidP="00EC1D62">
      <w:pPr>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w:t>
      </w:r>
      <w:r>
        <w:rPr>
          <w:rFonts w:ascii="彩虹粗仿宋" w:eastAsia="彩虹粗仿宋" w:cs="Arial" w:hint="eastAsia"/>
          <w:sz w:val="24"/>
        </w:rPr>
        <w:t>法律法规或监管部门取消或变更上述限制，如适用于本基金，基金管理人在履行适当程序后，则本基金投资不再受相关限制或按变更后的规定执行</w:t>
      </w:r>
      <w:r>
        <w:rPr>
          <w:rFonts w:ascii="彩虹粗仿宋" w:eastAsia="彩虹粗仿宋" w:hint="eastAsia"/>
          <w:sz w:val="24"/>
        </w:rPr>
        <w:t>。</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rsidR="00EC1D62" w:rsidRDefault="00EC1D62" w:rsidP="00EC1D62">
      <w:pPr>
        <w:adjustRightInd w:val="0"/>
        <w:snapToGrid w:val="0"/>
        <w:rPr>
          <w:rFonts w:ascii="彩虹粗仿宋" w:eastAsia="彩虹粗仿宋"/>
          <w:sz w:val="30"/>
          <w:szCs w:val="30"/>
        </w:rPr>
      </w:pPr>
    </w:p>
    <w:p w:rsidR="00EC1D62" w:rsidRDefault="00EC1D62" w:rsidP="00EC1D62">
      <w:pPr>
        <w:pStyle w:val="2"/>
        <w:jc w:val="center"/>
        <w:rPr>
          <w:rFonts w:ascii="彩虹粗仿宋" w:eastAsia="彩虹粗仿宋"/>
          <w:sz w:val="30"/>
        </w:rPr>
      </w:pPr>
      <w:bookmarkStart w:id="101" w:name="_Toc124325900"/>
      <w:r>
        <w:rPr>
          <w:rFonts w:ascii="彩虹粗仿宋" w:eastAsia="彩虹粗仿宋" w:hint="eastAsia"/>
          <w:sz w:val="30"/>
        </w:rPr>
        <w:t>十六、托管协议的变更、终止与基金财产的清算</w:t>
      </w:r>
      <w:bookmarkEnd w:id="101"/>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EC1D62" w:rsidRDefault="00EC1D62" w:rsidP="00EC1D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Pr>
          <w:rFonts w:ascii="彩虹粗仿宋" w:eastAsia="彩虹粗仿宋" w:hAnsi="宋体" w:cs="Arial" w:hint="eastAsia"/>
          <w:sz w:val="24"/>
          <w:highlight w:val="yellow"/>
        </w:rPr>
        <w:t>为</w:t>
      </w:r>
      <w:r>
        <w:rPr>
          <w:rFonts w:ascii="彩虹粗仿宋" w:eastAsia="彩虹粗仿宋" w:hAnsi="宋体" w:cs="Arial"/>
          <w:sz w:val="24"/>
          <w:highlight w:val="yellow"/>
        </w:rPr>
        <w:t>6</w:t>
      </w:r>
      <w:r>
        <w:rPr>
          <w:rFonts w:ascii="彩虹粗仿宋" w:eastAsia="彩虹粗仿宋" w:hAnsi="宋体" w:cs="Arial" w:hint="eastAsia"/>
          <w:sz w:val="24"/>
          <w:highlight w:val="yellow"/>
        </w:rPr>
        <w:t>个</w:t>
      </w:r>
      <w:r>
        <w:rPr>
          <w:rFonts w:ascii="彩虹粗仿宋" w:eastAsia="彩虹粗仿宋" w:hAnsi="宋体" w:cs="Arial" w:hint="eastAsia"/>
          <w:sz w:val="24"/>
        </w:rPr>
        <w:t>月，但因本基金所持证券的流动性受到限制而不能及时变现的，清算期限相应顺延。</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w:t>
      </w:r>
      <w:r>
        <w:rPr>
          <w:rFonts w:ascii="彩虹粗仿宋" w:eastAsia="彩虹粗仿宋" w:hAnsi="宋体" w:cs="Arial" w:hint="eastAsia"/>
          <w:sz w:val="24"/>
          <w:highlight w:val="yellow"/>
        </w:rPr>
        <w:t>后</w:t>
      </w:r>
      <w:r>
        <w:rPr>
          <w:rFonts w:ascii="彩虹粗仿宋" w:eastAsia="彩虹粗仿宋" w:hAnsi="宋体" w:cs="Arial"/>
          <w:sz w:val="24"/>
          <w:highlight w:val="yellow"/>
        </w:rPr>
        <w:t>5</w:t>
      </w:r>
      <w:r>
        <w:rPr>
          <w:rFonts w:ascii="彩虹粗仿宋" w:eastAsia="彩虹粗仿宋" w:hAnsi="宋体" w:cs="Arial" w:hint="eastAsia"/>
          <w:sz w:val="24"/>
          <w:highlight w:val="yellow"/>
        </w:rPr>
        <w:t>个</w:t>
      </w:r>
      <w:r>
        <w:rPr>
          <w:rFonts w:ascii="彩虹粗仿宋" w:eastAsia="彩虹粗仿宋" w:hAnsi="宋体" w:cs="Arial" w:hint="eastAsia"/>
          <w:sz w:val="24"/>
        </w:rPr>
        <w:t>工作日内由基金财产清算小组进行公告。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基金财产清算账册及有关文件由基金托管人保存20年以上，法律法规另有规定的从其规定。</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102" w:name="_Toc124325901"/>
      <w:r>
        <w:rPr>
          <w:rFonts w:ascii="彩虹粗仿宋" w:eastAsia="彩虹粗仿宋" w:hint="eastAsia"/>
          <w:sz w:val="30"/>
        </w:rPr>
        <w:t>十七、违约责任</w:t>
      </w:r>
      <w:bookmarkEnd w:id="102"/>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C1D62" w:rsidRDefault="00EC1D62" w:rsidP="00EC1D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C1D62" w:rsidRDefault="00EC1D62" w:rsidP="00EC1D62">
      <w:pPr>
        <w:adjustRightInd w:val="0"/>
        <w:snapToGrid w:val="0"/>
        <w:outlineLvl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103" w:name="_Toc124325902"/>
      <w:r>
        <w:rPr>
          <w:rFonts w:ascii="彩虹粗仿宋" w:eastAsia="彩虹粗仿宋" w:hint="eastAsia"/>
          <w:sz w:val="30"/>
        </w:rPr>
        <w:t>十八、争议解决方式</w:t>
      </w:r>
      <w:bookmarkEnd w:id="103"/>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104" w:name="_Toc124325903"/>
      <w:r>
        <w:rPr>
          <w:rFonts w:ascii="彩虹粗仿宋" w:eastAsia="彩虹粗仿宋" w:hint="eastAsia"/>
          <w:sz w:val="30"/>
        </w:rPr>
        <w:t>十九、托管协议的效力</w:t>
      </w:r>
      <w:bookmarkEnd w:id="104"/>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EC1D62" w:rsidRDefault="00EC1D62" w:rsidP="00EC1D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EC1D62" w:rsidRDefault="00EC1D62" w:rsidP="00EC1D62">
      <w:pPr>
        <w:adjustRightInd w:val="0"/>
        <w:snapToGrid w:val="0"/>
        <w:rPr>
          <w:rFonts w:ascii="彩虹粗仿宋" w:eastAsia="彩虹粗仿宋" w:hAnsi="宋体" w:cs="Arial"/>
          <w:sz w:val="24"/>
        </w:rPr>
      </w:pPr>
    </w:p>
    <w:p w:rsidR="00EC1D62" w:rsidRDefault="00EC1D62" w:rsidP="00EC1D62">
      <w:pPr>
        <w:pStyle w:val="2"/>
        <w:jc w:val="center"/>
        <w:rPr>
          <w:rFonts w:ascii="彩虹粗仿宋" w:eastAsia="彩虹粗仿宋"/>
          <w:sz w:val="30"/>
        </w:rPr>
      </w:pPr>
      <w:bookmarkStart w:id="105" w:name="_Toc124325904"/>
      <w:r>
        <w:rPr>
          <w:rFonts w:ascii="彩虹粗仿宋" w:eastAsia="彩虹粗仿宋" w:hint="eastAsia"/>
          <w:sz w:val="30"/>
        </w:rPr>
        <w:t>二十、其他事项</w:t>
      </w:r>
      <w:bookmarkEnd w:id="105"/>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C1D62" w:rsidRDefault="00EC1D62" w:rsidP="00EC1D62">
      <w:pPr>
        <w:adjustRightInd w:val="0"/>
        <w:snapToGrid w:val="0"/>
        <w:rPr>
          <w:rFonts w:ascii="彩虹粗仿宋" w:eastAsia="彩虹粗仿宋"/>
          <w:b/>
          <w:bCs/>
        </w:rPr>
      </w:pPr>
    </w:p>
    <w:p w:rsidR="00EC1D62" w:rsidRDefault="00EC1D62" w:rsidP="00EC1D62">
      <w:pPr>
        <w:pStyle w:val="2"/>
        <w:jc w:val="center"/>
        <w:rPr>
          <w:rFonts w:ascii="彩虹粗仿宋" w:eastAsia="彩虹粗仿宋"/>
          <w:sz w:val="30"/>
        </w:rPr>
      </w:pPr>
      <w:bookmarkStart w:id="106" w:name="_Toc124325905"/>
      <w:r>
        <w:rPr>
          <w:rFonts w:ascii="彩虹粗仿宋" w:eastAsia="彩虹粗仿宋" w:hint="eastAsia"/>
          <w:sz w:val="30"/>
        </w:rPr>
        <w:t>二十一、托管协议的签订</w:t>
      </w:r>
      <w:bookmarkEnd w:id="106"/>
    </w:p>
    <w:p w:rsidR="00EC1D62" w:rsidRDefault="00EC1D62" w:rsidP="00EC1D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本协议双方法定代表人或授权代表签字（或盖章）、签订地、签订日</w:t>
      </w:r>
    </w:p>
    <w:p w:rsidR="00EC1D62" w:rsidRDefault="00EC1D62" w:rsidP="00EC1D62">
      <w:pPr>
        <w:adjustRightInd w:val="0"/>
        <w:snapToGrid w:val="0"/>
        <w:ind w:firstLineChars="200" w:firstLine="480"/>
        <w:rPr>
          <w:rFonts w:ascii="彩虹粗仿宋" w:eastAsia="彩虹粗仿宋" w:hAnsi="宋体" w:cs="Arial"/>
          <w:sz w:val="24"/>
        </w:rPr>
        <w:sectPr w:rsidR="00EC1D62">
          <w:headerReference w:type="default" r:id="rId8"/>
          <w:pgSz w:w="11906" w:h="16838"/>
          <w:pgMar w:top="1418" w:right="1701" w:bottom="1418" w:left="1701" w:header="851" w:footer="992" w:gutter="0"/>
          <w:cols w:space="720"/>
          <w:docGrid w:type="lines" w:linePitch="312"/>
        </w:sectPr>
      </w:pPr>
    </w:p>
    <w:p w:rsidR="00281388" w:rsidRPr="0037016F" w:rsidRDefault="00281388" w:rsidP="0037016F"/>
    <w:sectPr w:rsidR="00281388" w:rsidRPr="00370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24" w:rsidRDefault="006A5924">
      <w:r>
        <w:separator/>
      </w:r>
    </w:p>
  </w:endnote>
  <w:endnote w:type="continuationSeparator" w:id="0">
    <w:p w:rsidR="006A5924" w:rsidRDefault="006A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Microsoft YaHei UI"/>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FD" w:rsidRDefault="00EC1D62">
    <w:pPr>
      <w:pStyle w:val="aa"/>
      <w:framePr w:wrap="around" w:vAnchor="text" w:hAnchor="margin" w:xAlign="center" w:y="1"/>
      <w:rPr>
        <w:rStyle w:val="a4"/>
      </w:rPr>
    </w:pPr>
    <w:r>
      <w:fldChar w:fldCharType="begin"/>
    </w:r>
    <w:r>
      <w:rPr>
        <w:rStyle w:val="a4"/>
      </w:rPr>
      <w:instrText xml:space="preserve">PAGE  </w:instrText>
    </w:r>
    <w:r>
      <w:fldChar w:fldCharType="end"/>
    </w:r>
  </w:p>
  <w:p w:rsidR="002641FD" w:rsidRDefault="006A592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FD" w:rsidRDefault="00EC1D62">
    <w:pPr>
      <w:pStyle w:val="aa"/>
      <w:framePr w:wrap="around" w:vAnchor="text" w:hAnchor="margin" w:xAlign="center" w:y="1"/>
      <w:rPr>
        <w:rStyle w:val="a4"/>
      </w:rPr>
    </w:pPr>
    <w:r>
      <w:fldChar w:fldCharType="begin"/>
    </w:r>
    <w:r>
      <w:rPr>
        <w:rStyle w:val="a4"/>
      </w:rPr>
      <w:instrText xml:space="preserve">PAGE  </w:instrText>
    </w:r>
    <w:r>
      <w:fldChar w:fldCharType="separate"/>
    </w:r>
    <w:r w:rsidR="00A6414E">
      <w:rPr>
        <w:rStyle w:val="a4"/>
        <w:noProof/>
      </w:rPr>
      <w:t>21</w:t>
    </w:r>
    <w:r>
      <w:fldChar w:fldCharType="end"/>
    </w:r>
  </w:p>
  <w:p w:rsidR="002641FD" w:rsidRDefault="006A59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24" w:rsidRDefault="006A5924">
      <w:r>
        <w:separator/>
      </w:r>
    </w:p>
  </w:footnote>
  <w:footnote w:type="continuationSeparator" w:id="0">
    <w:p w:rsidR="006A5924" w:rsidRDefault="006A5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FD" w:rsidRDefault="006A5924">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62"/>
    <w:rsid w:val="00001368"/>
    <w:rsid w:val="00003072"/>
    <w:rsid w:val="00004B89"/>
    <w:rsid w:val="0000549C"/>
    <w:rsid w:val="00006269"/>
    <w:rsid w:val="00006BDE"/>
    <w:rsid w:val="00010C6D"/>
    <w:rsid w:val="00014417"/>
    <w:rsid w:val="00017938"/>
    <w:rsid w:val="00023A33"/>
    <w:rsid w:val="0002594A"/>
    <w:rsid w:val="000317AF"/>
    <w:rsid w:val="0003243D"/>
    <w:rsid w:val="000340FB"/>
    <w:rsid w:val="00035D31"/>
    <w:rsid w:val="00040165"/>
    <w:rsid w:val="00040EE3"/>
    <w:rsid w:val="00041D83"/>
    <w:rsid w:val="00047330"/>
    <w:rsid w:val="00052F93"/>
    <w:rsid w:val="00053D51"/>
    <w:rsid w:val="00056674"/>
    <w:rsid w:val="00060FE1"/>
    <w:rsid w:val="00071191"/>
    <w:rsid w:val="00071C26"/>
    <w:rsid w:val="0007295F"/>
    <w:rsid w:val="000730D8"/>
    <w:rsid w:val="000747AA"/>
    <w:rsid w:val="0007657C"/>
    <w:rsid w:val="000834DB"/>
    <w:rsid w:val="000838FE"/>
    <w:rsid w:val="000842D4"/>
    <w:rsid w:val="00094ABB"/>
    <w:rsid w:val="00096FB9"/>
    <w:rsid w:val="000A0B8A"/>
    <w:rsid w:val="000A1938"/>
    <w:rsid w:val="000B5BFA"/>
    <w:rsid w:val="000C1AB3"/>
    <w:rsid w:val="000C4ED1"/>
    <w:rsid w:val="000D0258"/>
    <w:rsid w:val="000D0288"/>
    <w:rsid w:val="000D2524"/>
    <w:rsid w:val="000D6F88"/>
    <w:rsid w:val="000E1638"/>
    <w:rsid w:val="00102BED"/>
    <w:rsid w:val="00103005"/>
    <w:rsid w:val="00112E5B"/>
    <w:rsid w:val="0011754B"/>
    <w:rsid w:val="00121995"/>
    <w:rsid w:val="001534E9"/>
    <w:rsid w:val="00155347"/>
    <w:rsid w:val="00157A36"/>
    <w:rsid w:val="00165D90"/>
    <w:rsid w:val="0017029C"/>
    <w:rsid w:val="00170729"/>
    <w:rsid w:val="00171F9D"/>
    <w:rsid w:val="00175B3D"/>
    <w:rsid w:val="00176C0C"/>
    <w:rsid w:val="00177811"/>
    <w:rsid w:val="001801FC"/>
    <w:rsid w:val="00180AE9"/>
    <w:rsid w:val="0018345D"/>
    <w:rsid w:val="00186BB3"/>
    <w:rsid w:val="00195A99"/>
    <w:rsid w:val="001A4FEF"/>
    <w:rsid w:val="001A7BFD"/>
    <w:rsid w:val="001B1DE0"/>
    <w:rsid w:val="001B273D"/>
    <w:rsid w:val="001C4F07"/>
    <w:rsid w:val="001C5670"/>
    <w:rsid w:val="001C65AE"/>
    <w:rsid w:val="001C6B5C"/>
    <w:rsid w:val="001D6CB9"/>
    <w:rsid w:val="001D6DF6"/>
    <w:rsid w:val="001D7013"/>
    <w:rsid w:val="001E1375"/>
    <w:rsid w:val="001E2CB0"/>
    <w:rsid w:val="001E53CB"/>
    <w:rsid w:val="001E5EED"/>
    <w:rsid w:val="001F09C6"/>
    <w:rsid w:val="001F399C"/>
    <w:rsid w:val="00203B5E"/>
    <w:rsid w:val="00204409"/>
    <w:rsid w:val="002056C6"/>
    <w:rsid w:val="002157BA"/>
    <w:rsid w:val="00215984"/>
    <w:rsid w:val="00215B95"/>
    <w:rsid w:val="00215BDB"/>
    <w:rsid w:val="002162BB"/>
    <w:rsid w:val="00227BAC"/>
    <w:rsid w:val="002365E4"/>
    <w:rsid w:val="00237530"/>
    <w:rsid w:val="0023786B"/>
    <w:rsid w:val="00244DB6"/>
    <w:rsid w:val="002473C0"/>
    <w:rsid w:val="00250668"/>
    <w:rsid w:val="002630CA"/>
    <w:rsid w:val="00263515"/>
    <w:rsid w:val="0026555E"/>
    <w:rsid w:val="0027212E"/>
    <w:rsid w:val="0027433E"/>
    <w:rsid w:val="0027436B"/>
    <w:rsid w:val="0027457F"/>
    <w:rsid w:val="00277C9E"/>
    <w:rsid w:val="00281388"/>
    <w:rsid w:val="00287E71"/>
    <w:rsid w:val="00290D8B"/>
    <w:rsid w:val="0029383E"/>
    <w:rsid w:val="002958DA"/>
    <w:rsid w:val="00296D72"/>
    <w:rsid w:val="002A1DFB"/>
    <w:rsid w:val="002A68C4"/>
    <w:rsid w:val="002A73B3"/>
    <w:rsid w:val="002B0D23"/>
    <w:rsid w:val="002B41ED"/>
    <w:rsid w:val="002B4631"/>
    <w:rsid w:val="002C4436"/>
    <w:rsid w:val="002C44D7"/>
    <w:rsid w:val="002D64B1"/>
    <w:rsid w:val="002D6EDE"/>
    <w:rsid w:val="002E554A"/>
    <w:rsid w:val="002F3532"/>
    <w:rsid w:val="002F4DB6"/>
    <w:rsid w:val="002F5919"/>
    <w:rsid w:val="003002E2"/>
    <w:rsid w:val="003014F7"/>
    <w:rsid w:val="00310CFF"/>
    <w:rsid w:val="00311FAE"/>
    <w:rsid w:val="00312B9A"/>
    <w:rsid w:val="0031468E"/>
    <w:rsid w:val="0031530B"/>
    <w:rsid w:val="00321309"/>
    <w:rsid w:val="00321590"/>
    <w:rsid w:val="00324648"/>
    <w:rsid w:val="00327855"/>
    <w:rsid w:val="003342DC"/>
    <w:rsid w:val="003359B2"/>
    <w:rsid w:val="00340ADE"/>
    <w:rsid w:val="00340E4F"/>
    <w:rsid w:val="00343510"/>
    <w:rsid w:val="0034384A"/>
    <w:rsid w:val="00347AD8"/>
    <w:rsid w:val="003523AC"/>
    <w:rsid w:val="003542C2"/>
    <w:rsid w:val="003545E1"/>
    <w:rsid w:val="00355F78"/>
    <w:rsid w:val="00356D9B"/>
    <w:rsid w:val="003610E9"/>
    <w:rsid w:val="00365199"/>
    <w:rsid w:val="003657F1"/>
    <w:rsid w:val="00367EB4"/>
    <w:rsid w:val="0037016F"/>
    <w:rsid w:val="0037360F"/>
    <w:rsid w:val="003761F4"/>
    <w:rsid w:val="00382515"/>
    <w:rsid w:val="00391605"/>
    <w:rsid w:val="00391E16"/>
    <w:rsid w:val="00392DF7"/>
    <w:rsid w:val="003954DB"/>
    <w:rsid w:val="003A16B2"/>
    <w:rsid w:val="003A56C9"/>
    <w:rsid w:val="003A6885"/>
    <w:rsid w:val="003A7FDB"/>
    <w:rsid w:val="003B2F01"/>
    <w:rsid w:val="003C1CD8"/>
    <w:rsid w:val="003C1FEC"/>
    <w:rsid w:val="003C3167"/>
    <w:rsid w:val="003C5D7E"/>
    <w:rsid w:val="003D0B21"/>
    <w:rsid w:val="003D1448"/>
    <w:rsid w:val="003D37CD"/>
    <w:rsid w:val="003E23BF"/>
    <w:rsid w:val="003F21AE"/>
    <w:rsid w:val="003F3477"/>
    <w:rsid w:val="003F3B74"/>
    <w:rsid w:val="003F70F8"/>
    <w:rsid w:val="004026CA"/>
    <w:rsid w:val="004115B5"/>
    <w:rsid w:val="00411BAE"/>
    <w:rsid w:val="00421022"/>
    <w:rsid w:val="004254F0"/>
    <w:rsid w:val="00425860"/>
    <w:rsid w:val="004347AA"/>
    <w:rsid w:val="00435324"/>
    <w:rsid w:val="00440B2F"/>
    <w:rsid w:val="00442A1B"/>
    <w:rsid w:val="00445ABC"/>
    <w:rsid w:val="00447285"/>
    <w:rsid w:val="00447C93"/>
    <w:rsid w:val="00450AD5"/>
    <w:rsid w:val="00453B22"/>
    <w:rsid w:val="004617EF"/>
    <w:rsid w:val="0046191A"/>
    <w:rsid w:val="00463A00"/>
    <w:rsid w:val="004679CA"/>
    <w:rsid w:val="00471E19"/>
    <w:rsid w:val="00475D36"/>
    <w:rsid w:val="0048261A"/>
    <w:rsid w:val="00486C7E"/>
    <w:rsid w:val="004904C6"/>
    <w:rsid w:val="004933CE"/>
    <w:rsid w:val="004970C8"/>
    <w:rsid w:val="004A1377"/>
    <w:rsid w:val="004A4ABB"/>
    <w:rsid w:val="004A5D43"/>
    <w:rsid w:val="004B06CA"/>
    <w:rsid w:val="004B0D76"/>
    <w:rsid w:val="004B5098"/>
    <w:rsid w:val="004B7803"/>
    <w:rsid w:val="004C1D19"/>
    <w:rsid w:val="004C7A5A"/>
    <w:rsid w:val="004D3189"/>
    <w:rsid w:val="004D5A51"/>
    <w:rsid w:val="004E1A0D"/>
    <w:rsid w:val="004E4FAE"/>
    <w:rsid w:val="004E6303"/>
    <w:rsid w:val="004F5E74"/>
    <w:rsid w:val="00505C04"/>
    <w:rsid w:val="00506771"/>
    <w:rsid w:val="005222C4"/>
    <w:rsid w:val="00522F20"/>
    <w:rsid w:val="00525FCF"/>
    <w:rsid w:val="005315F2"/>
    <w:rsid w:val="00537362"/>
    <w:rsid w:val="00540DB3"/>
    <w:rsid w:val="00543B91"/>
    <w:rsid w:val="00545EAC"/>
    <w:rsid w:val="00550B9E"/>
    <w:rsid w:val="005534BA"/>
    <w:rsid w:val="00557397"/>
    <w:rsid w:val="00564F6A"/>
    <w:rsid w:val="00565F0D"/>
    <w:rsid w:val="0057178E"/>
    <w:rsid w:val="00572B39"/>
    <w:rsid w:val="00577FED"/>
    <w:rsid w:val="00585C26"/>
    <w:rsid w:val="0059774A"/>
    <w:rsid w:val="005A26C7"/>
    <w:rsid w:val="005A2EC7"/>
    <w:rsid w:val="005A3283"/>
    <w:rsid w:val="005A3378"/>
    <w:rsid w:val="005A433E"/>
    <w:rsid w:val="005A7030"/>
    <w:rsid w:val="005B051C"/>
    <w:rsid w:val="005B1AC5"/>
    <w:rsid w:val="005C02E8"/>
    <w:rsid w:val="005C1FBF"/>
    <w:rsid w:val="005C4E5D"/>
    <w:rsid w:val="005C5CE7"/>
    <w:rsid w:val="005C5DFE"/>
    <w:rsid w:val="005C6BBF"/>
    <w:rsid w:val="005D0441"/>
    <w:rsid w:val="005D19D8"/>
    <w:rsid w:val="005D1F78"/>
    <w:rsid w:val="005D22B4"/>
    <w:rsid w:val="005D28B0"/>
    <w:rsid w:val="005E38BC"/>
    <w:rsid w:val="005E631E"/>
    <w:rsid w:val="005E7931"/>
    <w:rsid w:val="005F0E69"/>
    <w:rsid w:val="005F1CE3"/>
    <w:rsid w:val="005F45FF"/>
    <w:rsid w:val="006014AC"/>
    <w:rsid w:val="006017EF"/>
    <w:rsid w:val="006030AE"/>
    <w:rsid w:val="00605E31"/>
    <w:rsid w:val="00606704"/>
    <w:rsid w:val="00610A9E"/>
    <w:rsid w:val="00611839"/>
    <w:rsid w:val="00617D20"/>
    <w:rsid w:val="00625D50"/>
    <w:rsid w:val="00630F70"/>
    <w:rsid w:val="00633CA7"/>
    <w:rsid w:val="0063620C"/>
    <w:rsid w:val="00636856"/>
    <w:rsid w:val="006370CC"/>
    <w:rsid w:val="006404E5"/>
    <w:rsid w:val="00641790"/>
    <w:rsid w:val="00644C18"/>
    <w:rsid w:val="006518B7"/>
    <w:rsid w:val="006579D1"/>
    <w:rsid w:val="0066534E"/>
    <w:rsid w:val="006725BB"/>
    <w:rsid w:val="00682A22"/>
    <w:rsid w:val="00682B0D"/>
    <w:rsid w:val="00691BC4"/>
    <w:rsid w:val="00691C54"/>
    <w:rsid w:val="00693F1A"/>
    <w:rsid w:val="006A0583"/>
    <w:rsid w:val="006A4B5C"/>
    <w:rsid w:val="006A5924"/>
    <w:rsid w:val="006A767A"/>
    <w:rsid w:val="006C00EF"/>
    <w:rsid w:val="006C2A8A"/>
    <w:rsid w:val="006C4082"/>
    <w:rsid w:val="006C776F"/>
    <w:rsid w:val="006C7EFE"/>
    <w:rsid w:val="006D0CFC"/>
    <w:rsid w:val="006D456F"/>
    <w:rsid w:val="006D4CFC"/>
    <w:rsid w:val="006D4D2A"/>
    <w:rsid w:val="006D61F3"/>
    <w:rsid w:val="006D7135"/>
    <w:rsid w:val="006D79AA"/>
    <w:rsid w:val="006E5481"/>
    <w:rsid w:val="006F7C72"/>
    <w:rsid w:val="00703052"/>
    <w:rsid w:val="00704904"/>
    <w:rsid w:val="0071118D"/>
    <w:rsid w:val="007120F0"/>
    <w:rsid w:val="00714A75"/>
    <w:rsid w:val="007153DD"/>
    <w:rsid w:val="00716B8A"/>
    <w:rsid w:val="00720289"/>
    <w:rsid w:val="007230D0"/>
    <w:rsid w:val="00724191"/>
    <w:rsid w:val="007309B7"/>
    <w:rsid w:val="00731D48"/>
    <w:rsid w:val="007332D0"/>
    <w:rsid w:val="0073352C"/>
    <w:rsid w:val="00740DF4"/>
    <w:rsid w:val="007411FE"/>
    <w:rsid w:val="00742576"/>
    <w:rsid w:val="00745FF4"/>
    <w:rsid w:val="0075170C"/>
    <w:rsid w:val="0075411D"/>
    <w:rsid w:val="00754906"/>
    <w:rsid w:val="007550C9"/>
    <w:rsid w:val="0076022C"/>
    <w:rsid w:val="00763CA5"/>
    <w:rsid w:val="0076772B"/>
    <w:rsid w:val="007711FC"/>
    <w:rsid w:val="007755F4"/>
    <w:rsid w:val="007800A2"/>
    <w:rsid w:val="0078202C"/>
    <w:rsid w:val="007836D6"/>
    <w:rsid w:val="0079517D"/>
    <w:rsid w:val="00797283"/>
    <w:rsid w:val="007A374F"/>
    <w:rsid w:val="007A4116"/>
    <w:rsid w:val="007A74EC"/>
    <w:rsid w:val="007B0D20"/>
    <w:rsid w:val="007B45BE"/>
    <w:rsid w:val="007B5FA1"/>
    <w:rsid w:val="007C4B53"/>
    <w:rsid w:val="007D2A06"/>
    <w:rsid w:val="007D4D75"/>
    <w:rsid w:val="007D4E23"/>
    <w:rsid w:val="007D68F0"/>
    <w:rsid w:val="007E3D5E"/>
    <w:rsid w:val="007E570D"/>
    <w:rsid w:val="007E6737"/>
    <w:rsid w:val="007F3678"/>
    <w:rsid w:val="007F48A3"/>
    <w:rsid w:val="007F514C"/>
    <w:rsid w:val="007F6EB0"/>
    <w:rsid w:val="00800A4F"/>
    <w:rsid w:val="00805A22"/>
    <w:rsid w:val="00810753"/>
    <w:rsid w:val="0081192B"/>
    <w:rsid w:val="00814867"/>
    <w:rsid w:val="00816141"/>
    <w:rsid w:val="00820866"/>
    <w:rsid w:val="00820BC0"/>
    <w:rsid w:val="00830F6D"/>
    <w:rsid w:val="00831537"/>
    <w:rsid w:val="00831F79"/>
    <w:rsid w:val="00836660"/>
    <w:rsid w:val="00840E05"/>
    <w:rsid w:val="00843FCE"/>
    <w:rsid w:val="00846B34"/>
    <w:rsid w:val="00847C7D"/>
    <w:rsid w:val="008513F7"/>
    <w:rsid w:val="00851710"/>
    <w:rsid w:val="0085248B"/>
    <w:rsid w:val="008527A7"/>
    <w:rsid w:val="00853365"/>
    <w:rsid w:val="00856051"/>
    <w:rsid w:val="008579A8"/>
    <w:rsid w:val="0086014B"/>
    <w:rsid w:val="0086118D"/>
    <w:rsid w:val="0086336E"/>
    <w:rsid w:val="008655B1"/>
    <w:rsid w:val="00882D1C"/>
    <w:rsid w:val="00883A38"/>
    <w:rsid w:val="008924F8"/>
    <w:rsid w:val="008925EF"/>
    <w:rsid w:val="00892A04"/>
    <w:rsid w:val="00892A34"/>
    <w:rsid w:val="00892F59"/>
    <w:rsid w:val="0089418C"/>
    <w:rsid w:val="00896789"/>
    <w:rsid w:val="008C38B8"/>
    <w:rsid w:val="008C6628"/>
    <w:rsid w:val="008E477A"/>
    <w:rsid w:val="008E481D"/>
    <w:rsid w:val="008E4B59"/>
    <w:rsid w:val="008F780C"/>
    <w:rsid w:val="008F78F2"/>
    <w:rsid w:val="008F7E7A"/>
    <w:rsid w:val="00903189"/>
    <w:rsid w:val="00906407"/>
    <w:rsid w:val="00910FC8"/>
    <w:rsid w:val="0091742E"/>
    <w:rsid w:val="00941CCB"/>
    <w:rsid w:val="00947E61"/>
    <w:rsid w:val="0095376B"/>
    <w:rsid w:val="00955BF2"/>
    <w:rsid w:val="00957062"/>
    <w:rsid w:val="00962980"/>
    <w:rsid w:val="009633A3"/>
    <w:rsid w:val="009655C3"/>
    <w:rsid w:val="00972A70"/>
    <w:rsid w:val="00972BEC"/>
    <w:rsid w:val="00973FFA"/>
    <w:rsid w:val="0098258F"/>
    <w:rsid w:val="00984048"/>
    <w:rsid w:val="00985202"/>
    <w:rsid w:val="0098782F"/>
    <w:rsid w:val="00990712"/>
    <w:rsid w:val="009942DD"/>
    <w:rsid w:val="00994331"/>
    <w:rsid w:val="00994806"/>
    <w:rsid w:val="00995669"/>
    <w:rsid w:val="009A433F"/>
    <w:rsid w:val="009B3E29"/>
    <w:rsid w:val="009B56BA"/>
    <w:rsid w:val="009C36C3"/>
    <w:rsid w:val="009C795B"/>
    <w:rsid w:val="009C7FC3"/>
    <w:rsid w:val="009D0283"/>
    <w:rsid w:val="009D0790"/>
    <w:rsid w:val="009D137A"/>
    <w:rsid w:val="009D6D9E"/>
    <w:rsid w:val="009E031C"/>
    <w:rsid w:val="009E1B5B"/>
    <w:rsid w:val="009F06BA"/>
    <w:rsid w:val="009F1090"/>
    <w:rsid w:val="009F39C9"/>
    <w:rsid w:val="009F52D3"/>
    <w:rsid w:val="00A00955"/>
    <w:rsid w:val="00A00C9E"/>
    <w:rsid w:val="00A0485A"/>
    <w:rsid w:val="00A04A50"/>
    <w:rsid w:val="00A07891"/>
    <w:rsid w:val="00A14940"/>
    <w:rsid w:val="00A201CB"/>
    <w:rsid w:val="00A20CE2"/>
    <w:rsid w:val="00A258D3"/>
    <w:rsid w:val="00A27218"/>
    <w:rsid w:val="00A276F7"/>
    <w:rsid w:val="00A3357D"/>
    <w:rsid w:val="00A3675E"/>
    <w:rsid w:val="00A4043F"/>
    <w:rsid w:val="00A40E59"/>
    <w:rsid w:val="00A40F14"/>
    <w:rsid w:val="00A429C0"/>
    <w:rsid w:val="00A441F3"/>
    <w:rsid w:val="00A458C0"/>
    <w:rsid w:val="00A469E3"/>
    <w:rsid w:val="00A50DD8"/>
    <w:rsid w:val="00A514F5"/>
    <w:rsid w:val="00A565F8"/>
    <w:rsid w:val="00A6414E"/>
    <w:rsid w:val="00A65E4C"/>
    <w:rsid w:val="00A668B0"/>
    <w:rsid w:val="00A73154"/>
    <w:rsid w:val="00A74255"/>
    <w:rsid w:val="00A77073"/>
    <w:rsid w:val="00A813E7"/>
    <w:rsid w:val="00A84895"/>
    <w:rsid w:val="00A85451"/>
    <w:rsid w:val="00A86D84"/>
    <w:rsid w:val="00A910B0"/>
    <w:rsid w:val="00A945F0"/>
    <w:rsid w:val="00A95847"/>
    <w:rsid w:val="00A97C16"/>
    <w:rsid w:val="00AA0347"/>
    <w:rsid w:val="00AA46E5"/>
    <w:rsid w:val="00AB472D"/>
    <w:rsid w:val="00AB5098"/>
    <w:rsid w:val="00AB6A06"/>
    <w:rsid w:val="00AB6B69"/>
    <w:rsid w:val="00AC0290"/>
    <w:rsid w:val="00AC0354"/>
    <w:rsid w:val="00AC1E09"/>
    <w:rsid w:val="00AD2DD7"/>
    <w:rsid w:val="00AE31B6"/>
    <w:rsid w:val="00AF209A"/>
    <w:rsid w:val="00AF33B3"/>
    <w:rsid w:val="00AF3AD0"/>
    <w:rsid w:val="00AF7C49"/>
    <w:rsid w:val="00B0464C"/>
    <w:rsid w:val="00B062DC"/>
    <w:rsid w:val="00B06EF6"/>
    <w:rsid w:val="00B07395"/>
    <w:rsid w:val="00B11D08"/>
    <w:rsid w:val="00B12BC3"/>
    <w:rsid w:val="00B14999"/>
    <w:rsid w:val="00B17C68"/>
    <w:rsid w:val="00B20DF9"/>
    <w:rsid w:val="00B21507"/>
    <w:rsid w:val="00B21B2C"/>
    <w:rsid w:val="00B2330D"/>
    <w:rsid w:val="00B23FFA"/>
    <w:rsid w:val="00B275B8"/>
    <w:rsid w:val="00B324CB"/>
    <w:rsid w:val="00B32E99"/>
    <w:rsid w:val="00B334C2"/>
    <w:rsid w:val="00B344B5"/>
    <w:rsid w:val="00B35A38"/>
    <w:rsid w:val="00B36CD7"/>
    <w:rsid w:val="00B40F96"/>
    <w:rsid w:val="00B4401F"/>
    <w:rsid w:val="00B4778E"/>
    <w:rsid w:val="00B5396C"/>
    <w:rsid w:val="00B5418D"/>
    <w:rsid w:val="00B6390F"/>
    <w:rsid w:val="00B666C0"/>
    <w:rsid w:val="00B73481"/>
    <w:rsid w:val="00B74F20"/>
    <w:rsid w:val="00B815CA"/>
    <w:rsid w:val="00B81EF0"/>
    <w:rsid w:val="00B83756"/>
    <w:rsid w:val="00B848C8"/>
    <w:rsid w:val="00B8604E"/>
    <w:rsid w:val="00B944A7"/>
    <w:rsid w:val="00BA4444"/>
    <w:rsid w:val="00BA45C9"/>
    <w:rsid w:val="00BA6254"/>
    <w:rsid w:val="00BA66B3"/>
    <w:rsid w:val="00BB1057"/>
    <w:rsid w:val="00BB4AEA"/>
    <w:rsid w:val="00BB7682"/>
    <w:rsid w:val="00BC10E1"/>
    <w:rsid w:val="00BC414F"/>
    <w:rsid w:val="00BC46C6"/>
    <w:rsid w:val="00BC4E0B"/>
    <w:rsid w:val="00BD379A"/>
    <w:rsid w:val="00BE171C"/>
    <w:rsid w:val="00BE1C67"/>
    <w:rsid w:val="00BE1C9E"/>
    <w:rsid w:val="00BE4780"/>
    <w:rsid w:val="00BE69F3"/>
    <w:rsid w:val="00BF38BE"/>
    <w:rsid w:val="00C001C0"/>
    <w:rsid w:val="00C02D1E"/>
    <w:rsid w:val="00C05215"/>
    <w:rsid w:val="00C110D1"/>
    <w:rsid w:val="00C112DD"/>
    <w:rsid w:val="00C20738"/>
    <w:rsid w:val="00C24367"/>
    <w:rsid w:val="00C246E4"/>
    <w:rsid w:val="00C2751D"/>
    <w:rsid w:val="00C27EB7"/>
    <w:rsid w:val="00C33091"/>
    <w:rsid w:val="00C34A2D"/>
    <w:rsid w:val="00C37FFD"/>
    <w:rsid w:val="00C40C18"/>
    <w:rsid w:val="00C40F5E"/>
    <w:rsid w:val="00C43F29"/>
    <w:rsid w:val="00C4482E"/>
    <w:rsid w:val="00C471FE"/>
    <w:rsid w:val="00C478B8"/>
    <w:rsid w:val="00C47DF9"/>
    <w:rsid w:val="00C50601"/>
    <w:rsid w:val="00C5119E"/>
    <w:rsid w:val="00C519AD"/>
    <w:rsid w:val="00C53602"/>
    <w:rsid w:val="00C6407F"/>
    <w:rsid w:val="00C67C4E"/>
    <w:rsid w:val="00C71CF3"/>
    <w:rsid w:val="00C71D32"/>
    <w:rsid w:val="00C74E2E"/>
    <w:rsid w:val="00C7733F"/>
    <w:rsid w:val="00C8688C"/>
    <w:rsid w:val="00C87561"/>
    <w:rsid w:val="00C91803"/>
    <w:rsid w:val="00CA3BC4"/>
    <w:rsid w:val="00CA54C3"/>
    <w:rsid w:val="00CB0B87"/>
    <w:rsid w:val="00CB164C"/>
    <w:rsid w:val="00CB294D"/>
    <w:rsid w:val="00CB7841"/>
    <w:rsid w:val="00CC593F"/>
    <w:rsid w:val="00CC68BE"/>
    <w:rsid w:val="00CC6ECE"/>
    <w:rsid w:val="00CD632B"/>
    <w:rsid w:val="00CD7D5F"/>
    <w:rsid w:val="00CE008A"/>
    <w:rsid w:val="00CE6CBF"/>
    <w:rsid w:val="00CF2836"/>
    <w:rsid w:val="00CF6B5C"/>
    <w:rsid w:val="00CF7909"/>
    <w:rsid w:val="00D01C3E"/>
    <w:rsid w:val="00D059AD"/>
    <w:rsid w:val="00D172E8"/>
    <w:rsid w:val="00D173C8"/>
    <w:rsid w:val="00D214AF"/>
    <w:rsid w:val="00D22904"/>
    <w:rsid w:val="00D25785"/>
    <w:rsid w:val="00D25A48"/>
    <w:rsid w:val="00D26F36"/>
    <w:rsid w:val="00D326C3"/>
    <w:rsid w:val="00D3406E"/>
    <w:rsid w:val="00D4335F"/>
    <w:rsid w:val="00D4518D"/>
    <w:rsid w:val="00D45E6C"/>
    <w:rsid w:val="00D51318"/>
    <w:rsid w:val="00D5183A"/>
    <w:rsid w:val="00D65ED9"/>
    <w:rsid w:val="00D70333"/>
    <w:rsid w:val="00D70CF0"/>
    <w:rsid w:val="00D71338"/>
    <w:rsid w:val="00D72BA0"/>
    <w:rsid w:val="00D75397"/>
    <w:rsid w:val="00D76FF3"/>
    <w:rsid w:val="00D84BE3"/>
    <w:rsid w:val="00D86047"/>
    <w:rsid w:val="00D86862"/>
    <w:rsid w:val="00D90EE1"/>
    <w:rsid w:val="00D93AF6"/>
    <w:rsid w:val="00D94C03"/>
    <w:rsid w:val="00D96351"/>
    <w:rsid w:val="00DB22F0"/>
    <w:rsid w:val="00DB2712"/>
    <w:rsid w:val="00DC0FEE"/>
    <w:rsid w:val="00DD114B"/>
    <w:rsid w:val="00DD6DCF"/>
    <w:rsid w:val="00DD745C"/>
    <w:rsid w:val="00DD7606"/>
    <w:rsid w:val="00DE4E40"/>
    <w:rsid w:val="00DE62E8"/>
    <w:rsid w:val="00DF0F45"/>
    <w:rsid w:val="00DF4840"/>
    <w:rsid w:val="00DF5257"/>
    <w:rsid w:val="00E00967"/>
    <w:rsid w:val="00E07F0B"/>
    <w:rsid w:val="00E100BC"/>
    <w:rsid w:val="00E10430"/>
    <w:rsid w:val="00E10E8B"/>
    <w:rsid w:val="00E118CA"/>
    <w:rsid w:val="00E11DBD"/>
    <w:rsid w:val="00E12096"/>
    <w:rsid w:val="00E126E4"/>
    <w:rsid w:val="00E13599"/>
    <w:rsid w:val="00E143F8"/>
    <w:rsid w:val="00E15442"/>
    <w:rsid w:val="00E16ACB"/>
    <w:rsid w:val="00E30CA5"/>
    <w:rsid w:val="00E351A6"/>
    <w:rsid w:val="00E354AF"/>
    <w:rsid w:val="00E417A7"/>
    <w:rsid w:val="00E45D7C"/>
    <w:rsid w:val="00E4614F"/>
    <w:rsid w:val="00E50530"/>
    <w:rsid w:val="00E53E06"/>
    <w:rsid w:val="00E54994"/>
    <w:rsid w:val="00E61A02"/>
    <w:rsid w:val="00E620C8"/>
    <w:rsid w:val="00E62146"/>
    <w:rsid w:val="00E623A4"/>
    <w:rsid w:val="00E63F9E"/>
    <w:rsid w:val="00E6565A"/>
    <w:rsid w:val="00E71982"/>
    <w:rsid w:val="00E71987"/>
    <w:rsid w:val="00E73BDB"/>
    <w:rsid w:val="00E764D7"/>
    <w:rsid w:val="00E76A40"/>
    <w:rsid w:val="00E76C97"/>
    <w:rsid w:val="00E77FC5"/>
    <w:rsid w:val="00E80D3F"/>
    <w:rsid w:val="00E84D67"/>
    <w:rsid w:val="00E8588B"/>
    <w:rsid w:val="00E85A52"/>
    <w:rsid w:val="00E86CBB"/>
    <w:rsid w:val="00E91D3E"/>
    <w:rsid w:val="00E93D08"/>
    <w:rsid w:val="00E93E95"/>
    <w:rsid w:val="00E94C2F"/>
    <w:rsid w:val="00E956B3"/>
    <w:rsid w:val="00EA21FA"/>
    <w:rsid w:val="00EB07BB"/>
    <w:rsid w:val="00EB0B13"/>
    <w:rsid w:val="00EB5179"/>
    <w:rsid w:val="00EB7BEC"/>
    <w:rsid w:val="00EC10E2"/>
    <w:rsid w:val="00EC1D62"/>
    <w:rsid w:val="00EC33EC"/>
    <w:rsid w:val="00EC5656"/>
    <w:rsid w:val="00ED2861"/>
    <w:rsid w:val="00ED3271"/>
    <w:rsid w:val="00EE6B3D"/>
    <w:rsid w:val="00EF04BE"/>
    <w:rsid w:val="00EF1419"/>
    <w:rsid w:val="00EF1F14"/>
    <w:rsid w:val="00EF6734"/>
    <w:rsid w:val="00F040F7"/>
    <w:rsid w:val="00F05B64"/>
    <w:rsid w:val="00F06E0F"/>
    <w:rsid w:val="00F101BA"/>
    <w:rsid w:val="00F11A19"/>
    <w:rsid w:val="00F17467"/>
    <w:rsid w:val="00F30F49"/>
    <w:rsid w:val="00F326E7"/>
    <w:rsid w:val="00F352A7"/>
    <w:rsid w:val="00F360DA"/>
    <w:rsid w:val="00F36325"/>
    <w:rsid w:val="00F36469"/>
    <w:rsid w:val="00F461D5"/>
    <w:rsid w:val="00F570AF"/>
    <w:rsid w:val="00F60068"/>
    <w:rsid w:val="00F63E85"/>
    <w:rsid w:val="00F669A3"/>
    <w:rsid w:val="00F67B3A"/>
    <w:rsid w:val="00F71884"/>
    <w:rsid w:val="00F72B28"/>
    <w:rsid w:val="00F75536"/>
    <w:rsid w:val="00F77E2E"/>
    <w:rsid w:val="00F81A20"/>
    <w:rsid w:val="00F8585F"/>
    <w:rsid w:val="00F876C6"/>
    <w:rsid w:val="00F90CC1"/>
    <w:rsid w:val="00F956BC"/>
    <w:rsid w:val="00F9631F"/>
    <w:rsid w:val="00F96EA4"/>
    <w:rsid w:val="00FA26BC"/>
    <w:rsid w:val="00FA2DC0"/>
    <w:rsid w:val="00FA52D6"/>
    <w:rsid w:val="00FA5702"/>
    <w:rsid w:val="00FA611F"/>
    <w:rsid w:val="00FA6A13"/>
    <w:rsid w:val="00FA7D3F"/>
    <w:rsid w:val="00FB48D3"/>
    <w:rsid w:val="00FB5181"/>
    <w:rsid w:val="00FB6420"/>
    <w:rsid w:val="00FB6659"/>
    <w:rsid w:val="00FC2A31"/>
    <w:rsid w:val="00FC5BA6"/>
    <w:rsid w:val="00FC7BEE"/>
    <w:rsid w:val="00FD29C2"/>
    <w:rsid w:val="00FD6B66"/>
    <w:rsid w:val="00FF039D"/>
    <w:rsid w:val="00FF21F9"/>
    <w:rsid w:val="00FF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5D348C-EC01-40D2-A6BF-747EFAC5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62"/>
    <w:pPr>
      <w:widowControl w:val="0"/>
      <w:jc w:val="both"/>
    </w:pPr>
    <w:rPr>
      <w:rFonts w:ascii="Times New Roman" w:eastAsia="宋体" w:hAnsi="Times New Roman" w:cs="Times New Roman"/>
      <w:szCs w:val="24"/>
    </w:rPr>
  </w:style>
  <w:style w:type="paragraph" w:styleId="2">
    <w:name w:val="heading 2"/>
    <w:basedOn w:val="a"/>
    <w:next w:val="a0"/>
    <w:link w:val="2Char"/>
    <w:qFormat/>
    <w:rsid w:val="00EC1D6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C1D62"/>
    <w:rPr>
      <w:rFonts w:ascii="Arial" w:eastAsia="黑体" w:hAnsi="Arial" w:cs="Times New Roman"/>
      <w:b/>
      <w:sz w:val="32"/>
      <w:szCs w:val="20"/>
    </w:rPr>
  </w:style>
  <w:style w:type="character" w:styleId="a4">
    <w:name w:val="page number"/>
    <w:basedOn w:val="a1"/>
    <w:rsid w:val="00EC1D62"/>
  </w:style>
  <w:style w:type="character" w:styleId="a5">
    <w:name w:val="Strong"/>
    <w:qFormat/>
    <w:rsid w:val="00EC1D62"/>
    <w:rPr>
      <w:b/>
      <w:bCs/>
    </w:rPr>
  </w:style>
  <w:style w:type="character" w:styleId="a6">
    <w:name w:val="FollowedHyperlink"/>
    <w:uiPriority w:val="99"/>
    <w:unhideWhenUsed/>
    <w:rsid w:val="00EC1D62"/>
    <w:rPr>
      <w:color w:val="800080"/>
      <w:u w:val="single"/>
    </w:rPr>
  </w:style>
  <w:style w:type="character" w:styleId="a7">
    <w:name w:val="Hyperlink"/>
    <w:rsid w:val="00EC1D62"/>
    <w:rPr>
      <w:color w:val="0000FF"/>
      <w:u w:val="single"/>
    </w:rPr>
  </w:style>
  <w:style w:type="character" w:styleId="a8">
    <w:name w:val="annotation reference"/>
    <w:rsid w:val="00EC1D62"/>
    <w:rPr>
      <w:sz w:val="21"/>
      <w:szCs w:val="21"/>
    </w:rPr>
  </w:style>
  <w:style w:type="character" w:customStyle="1" w:styleId="3Char">
    <w:name w:val="正文文本缩进 3 Char"/>
    <w:link w:val="3"/>
    <w:rsid w:val="00EC1D62"/>
    <w:rPr>
      <w:rFonts w:ascii="仿宋_GB2312" w:eastAsia="仿宋_GB2312" w:hAnsi="宋体" w:cs="Arial"/>
      <w:color w:val="000000"/>
      <w:sz w:val="24"/>
      <w:szCs w:val="24"/>
    </w:rPr>
  </w:style>
  <w:style w:type="character" w:customStyle="1" w:styleId="Char">
    <w:name w:val="批注主题 Char"/>
    <w:link w:val="a9"/>
    <w:rsid w:val="00EC1D62"/>
    <w:rPr>
      <w:rFonts w:ascii="Times New Roman" w:eastAsia="宋体" w:hAnsi="Times New Roman" w:cs="Times New Roman"/>
      <w:b/>
      <w:bCs/>
      <w:szCs w:val="24"/>
    </w:rPr>
  </w:style>
  <w:style w:type="character" w:customStyle="1" w:styleId="HTMLChar">
    <w:name w:val="HTML 预设格式 Char"/>
    <w:link w:val="HTML"/>
    <w:uiPriority w:val="99"/>
    <w:rsid w:val="00EC1D62"/>
    <w:rPr>
      <w:rFonts w:ascii="宋体" w:eastAsia="宋体" w:hAnsi="宋体" w:cs="宋体"/>
      <w:kern w:val="0"/>
      <w:sz w:val="24"/>
      <w:szCs w:val="24"/>
    </w:rPr>
  </w:style>
  <w:style w:type="character" w:customStyle="1" w:styleId="Char0">
    <w:name w:val="批注文字 Char"/>
    <w:semiHidden/>
    <w:rsid w:val="00EC1D62"/>
    <w:rPr>
      <w:rFonts w:ascii="Times New Roman" w:eastAsia="宋体" w:hAnsi="Times New Roman" w:cs="Times New Roman"/>
      <w:szCs w:val="24"/>
    </w:rPr>
  </w:style>
  <w:style w:type="character" w:customStyle="1" w:styleId="read">
    <w:name w:val="read"/>
    <w:basedOn w:val="a1"/>
    <w:rsid w:val="00EC1D62"/>
  </w:style>
  <w:style w:type="character" w:customStyle="1" w:styleId="Char1">
    <w:name w:val="页脚 Char"/>
    <w:link w:val="aa"/>
    <w:uiPriority w:val="99"/>
    <w:rsid w:val="00EC1D62"/>
    <w:rPr>
      <w:sz w:val="18"/>
      <w:szCs w:val="18"/>
    </w:rPr>
  </w:style>
  <w:style w:type="character" w:customStyle="1" w:styleId="ab">
    <w:name w:val="批注文字 字符"/>
    <w:rsid w:val="00EC1D62"/>
    <w:rPr>
      <w:rFonts w:ascii="Times New Roman" w:eastAsia="宋体" w:hAnsi="Times New Roman" w:cs="Times New Roman"/>
      <w:szCs w:val="24"/>
    </w:rPr>
  </w:style>
  <w:style w:type="character" w:customStyle="1" w:styleId="2Char0">
    <w:name w:val="正文文本缩进 2 Char"/>
    <w:link w:val="20"/>
    <w:rsid w:val="00EC1D62"/>
    <w:rPr>
      <w:rFonts w:ascii="宋体" w:eastAsia="宋体" w:hAnsi="宋体" w:cs="Times New Roman"/>
      <w:sz w:val="28"/>
      <w:szCs w:val="20"/>
    </w:rPr>
  </w:style>
  <w:style w:type="character" w:customStyle="1" w:styleId="Char2">
    <w:name w:val="页眉 Char"/>
    <w:link w:val="ac"/>
    <w:uiPriority w:val="99"/>
    <w:rsid w:val="00EC1D62"/>
    <w:rPr>
      <w:sz w:val="18"/>
      <w:szCs w:val="18"/>
    </w:rPr>
  </w:style>
  <w:style w:type="character" w:customStyle="1" w:styleId="Char3">
    <w:name w:val="批注框文本 Char"/>
    <w:link w:val="ad"/>
    <w:semiHidden/>
    <w:rsid w:val="00EC1D62"/>
    <w:rPr>
      <w:rFonts w:ascii="Times New Roman" w:eastAsia="宋体" w:hAnsi="Times New Roman" w:cs="Times New Roman"/>
      <w:sz w:val="18"/>
      <w:szCs w:val="18"/>
    </w:rPr>
  </w:style>
  <w:style w:type="character" w:customStyle="1" w:styleId="Char4">
    <w:name w:val="正文文本缩进 Char"/>
    <w:link w:val="ae"/>
    <w:rsid w:val="00EC1D62"/>
    <w:rPr>
      <w:rFonts w:ascii="Times New Roman" w:eastAsia="方正仿宋简体" w:hAnsi="Times New Roman" w:cs="Times New Roman"/>
      <w:sz w:val="24"/>
      <w:szCs w:val="30"/>
    </w:rPr>
  </w:style>
  <w:style w:type="character" w:customStyle="1" w:styleId="Char5">
    <w:name w:val="正文文本 Char"/>
    <w:link w:val="af"/>
    <w:rsid w:val="00EC1D62"/>
    <w:rPr>
      <w:rFonts w:ascii="仿宋_GB2312" w:eastAsia="仿宋_GB2312" w:hAnsi="Times New Roman" w:cs="Times New Roman"/>
      <w:color w:val="000000"/>
      <w:kern w:val="0"/>
      <w:sz w:val="24"/>
      <w:szCs w:val="28"/>
    </w:rPr>
  </w:style>
  <w:style w:type="paragraph" w:styleId="af0">
    <w:name w:val="annotation text"/>
    <w:basedOn w:val="a"/>
    <w:link w:val="Char10"/>
    <w:unhideWhenUsed/>
    <w:rsid w:val="00EC1D62"/>
    <w:pPr>
      <w:jc w:val="left"/>
    </w:pPr>
  </w:style>
  <w:style w:type="character" w:customStyle="1" w:styleId="Char10">
    <w:name w:val="批注文字 Char1"/>
    <w:basedOn w:val="a1"/>
    <w:link w:val="af0"/>
    <w:uiPriority w:val="99"/>
    <w:semiHidden/>
    <w:rsid w:val="00EC1D62"/>
    <w:rPr>
      <w:rFonts w:ascii="Times New Roman" w:eastAsia="宋体" w:hAnsi="Times New Roman" w:cs="Times New Roman"/>
      <w:szCs w:val="24"/>
    </w:rPr>
  </w:style>
  <w:style w:type="paragraph" w:styleId="a9">
    <w:name w:val="annotation subject"/>
    <w:basedOn w:val="af0"/>
    <w:next w:val="af0"/>
    <w:link w:val="Char"/>
    <w:rsid w:val="00EC1D62"/>
    <w:rPr>
      <w:b/>
      <w:bCs/>
    </w:rPr>
  </w:style>
  <w:style w:type="character" w:customStyle="1" w:styleId="Char11">
    <w:name w:val="批注主题 Char1"/>
    <w:basedOn w:val="Char10"/>
    <w:uiPriority w:val="99"/>
    <w:semiHidden/>
    <w:rsid w:val="00EC1D62"/>
    <w:rPr>
      <w:rFonts w:ascii="Times New Roman" w:eastAsia="宋体" w:hAnsi="Times New Roman" w:cs="Times New Roman"/>
      <w:b/>
      <w:bCs/>
      <w:szCs w:val="24"/>
    </w:rPr>
  </w:style>
  <w:style w:type="paragraph" w:styleId="4">
    <w:name w:val="toc 4"/>
    <w:basedOn w:val="a"/>
    <w:next w:val="a"/>
    <w:semiHidden/>
    <w:rsid w:val="00EC1D62"/>
    <w:pPr>
      <w:ind w:leftChars="600" w:left="1260"/>
    </w:pPr>
  </w:style>
  <w:style w:type="paragraph" w:styleId="aa">
    <w:name w:val="footer"/>
    <w:basedOn w:val="a"/>
    <w:link w:val="Char1"/>
    <w:uiPriority w:val="99"/>
    <w:unhideWhenUsed/>
    <w:rsid w:val="00EC1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uiPriority w:val="99"/>
    <w:semiHidden/>
    <w:rsid w:val="00EC1D62"/>
    <w:rPr>
      <w:rFonts w:ascii="Times New Roman" w:eastAsia="宋体" w:hAnsi="Times New Roman" w:cs="Times New Roman"/>
      <w:sz w:val="18"/>
      <w:szCs w:val="18"/>
    </w:rPr>
  </w:style>
  <w:style w:type="paragraph" w:styleId="ad">
    <w:name w:val="Balloon Text"/>
    <w:basedOn w:val="a"/>
    <w:link w:val="Char3"/>
    <w:semiHidden/>
    <w:rsid w:val="00EC1D62"/>
    <w:rPr>
      <w:sz w:val="18"/>
      <w:szCs w:val="18"/>
    </w:rPr>
  </w:style>
  <w:style w:type="character" w:customStyle="1" w:styleId="Char13">
    <w:name w:val="批注框文本 Char1"/>
    <w:basedOn w:val="a1"/>
    <w:uiPriority w:val="99"/>
    <w:semiHidden/>
    <w:rsid w:val="00EC1D62"/>
    <w:rPr>
      <w:rFonts w:ascii="Times New Roman" w:eastAsia="宋体" w:hAnsi="Times New Roman" w:cs="Times New Roman"/>
      <w:sz w:val="18"/>
      <w:szCs w:val="18"/>
    </w:rPr>
  </w:style>
  <w:style w:type="paragraph" w:styleId="af">
    <w:name w:val="Body Text"/>
    <w:basedOn w:val="a"/>
    <w:link w:val="Char5"/>
    <w:rsid w:val="00EC1D62"/>
    <w:pPr>
      <w:spacing w:line="360" w:lineRule="auto"/>
    </w:pPr>
    <w:rPr>
      <w:rFonts w:ascii="仿宋_GB2312" w:eastAsia="仿宋_GB2312"/>
      <w:color w:val="000000"/>
      <w:kern w:val="0"/>
      <w:sz w:val="24"/>
      <w:szCs w:val="28"/>
    </w:rPr>
  </w:style>
  <w:style w:type="character" w:customStyle="1" w:styleId="Char14">
    <w:name w:val="正文文本 Char1"/>
    <w:basedOn w:val="a1"/>
    <w:uiPriority w:val="99"/>
    <w:semiHidden/>
    <w:rsid w:val="00EC1D62"/>
    <w:rPr>
      <w:rFonts w:ascii="Times New Roman" w:eastAsia="宋体" w:hAnsi="Times New Roman" w:cs="Times New Roman"/>
      <w:szCs w:val="24"/>
    </w:rPr>
  </w:style>
  <w:style w:type="paragraph" w:styleId="30">
    <w:name w:val="toc 3"/>
    <w:basedOn w:val="a"/>
    <w:next w:val="a"/>
    <w:semiHidden/>
    <w:rsid w:val="00EC1D62"/>
    <w:pPr>
      <w:ind w:leftChars="400" w:left="840"/>
    </w:pPr>
  </w:style>
  <w:style w:type="paragraph" w:styleId="5">
    <w:name w:val="toc 5"/>
    <w:basedOn w:val="a"/>
    <w:next w:val="a"/>
    <w:semiHidden/>
    <w:rsid w:val="00EC1D62"/>
    <w:pPr>
      <w:ind w:leftChars="800" w:left="1680"/>
    </w:pPr>
  </w:style>
  <w:style w:type="paragraph" w:styleId="3">
    <w:name w:val="Body Text Indent 3"/>
    <w:basedOn w:val="a"/>
    <w:link w:val="3Char"/>
    <w:rsid w:val="00EC1D62"/>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EC1D62"/>
    <w:rPr>
      <w:rFonts w:ascii="Times New Roman" w:eastAsia="宋体" w:hAnsi="Times New Roman" w:cs="Times New Roman"/>
      <w:sz w:val="16"/>
      <w:szCs w:val="16"/>
    </w:rPr>
  </w:style>
  <w:style w:type="paragraph" w:styleId="ae">
    <w:name w:val="Body Text Indent"/>
    <w:basedOn w:val="a"/>
    <w:link w:val="Char4"/>
    <w:rsid w:val="00EC1D62"/>
    <w:pPr>
      <w:adjustRightInd w:val="0"/>
      <w:snapToGrid w:val="0"/>
      <w:spacing w:line="560" w:lineRule="exact"/>
      <w:ind w:firstLineChars="200" w:firstLine="480"/>
    </w:pPr>
    <w:rPr>
      <w:rFonts w:eastAsia="方正仿宋简体"/>
      <w:sz w:val="24"/>
      <w:szCs w:val="30"/>
    </w:rPr>
  </w:style>
  <w:style w:type="character" w:customStyle="1" w:styleId="Char15">
    <w:name w:val="正文文本缩进 Char1"/>
    <w:basedOn w:val="a1"/>
    <w:uiPriority w:val="99"/>
    <w:semiHidden/>
    <w:rsid w:val="00EC1D62"/>
    <w:rPr>
      <w:rFonts w:ascii="Times New Roman" w:eastAsia="宋体" w:hAnsi="Times New Roman" w:cs="Times New Roman"/>
      <w:szCs w:val="24"/>
    </w:rPr>
  </w:style>
  <w:style w:type="paragraph" w:styleId="af1">
    <w:name w:val="Normal (Web)"/>
    <w:basedOn w:val="a"/>
    <w:rsid w:val="00EC1D62"/>
    <w:pPr>
      <w:widowControl/>
      <w:spacing w:before="100" w:beforeAutospacing="1" w:after="100" w:afterAutospacing="1"/>
      <w:jc w:val="left"/>
    </w:pPr>
    <w:rPr>
      <w:rFonts w:ascii="Arial Unicode MS" w:eastAsia="Arial Unicode MS" w:hAnsi="Arial Unicode MS" w:cs="Arial Unicode MS"/>
      <w:kern w:val="0"/>
      <w:sz w:val="24"/>
    </w:rPr>
  </w:style>
  <w:style w:type="paragraph" w:styleId="9">
    <w:name w:val="toc 9"/>
    <w:basedOn w:val="a"/>
    <w:next w:val="a"/>
    <w:semiHidden/>
    <w:rsid w:val="00EC1D62"/>
    <w:pPr>
      <w:ind w:leftChars="1600" w:left="3360"/>
    </w:pPr>
  </w:style>
  <w:style w:type="paragraph" w:styleId="1">
    <w:name w:val="toc 1"/>
    <w:basedOn w:val="a"/>
    <w:next w:val="a"/>
    <w:semiHidden/>
    <w:rsid w:val="00EC1D62"/>
  </w:style>
  <w:style w:type="paragraph" w:styleId="ac">
    <w:name w:val="header"/>
    <w:basedOn w:val="a"/>
    <w:link w:val="Char2"/>
    <w:uiPriority w:val="99"/>
    <w:unhideWhenUsed/>
    <w:rsid w:val="00EC1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1"/>
    <w:uiPriority w:val="99"/>
    <w:semiHidden/>
    <w:rsid w:val="00EC1D62"/>
    <w:rPr>
      <w:rFonts w:ascii="Times New Roman" w:eastAsia="宋体" w:hAnsi="Times New Roman" w:cs="Times New Roman"/>
      <w:sz w:val="18"/>
      <w:szCs w:val="18"/>
    </w:rPr>
  </w:style>
  <w:style w:type="paragraph" w:styleId="8">
    <w:name w:val="toc 8"/>
    <w:basedOn w:val="a"/>
    <w:next w:val="a"/>
    <w:semiHidden/>
    <w:rsid w:val="00EC1D62"/>
    <w:pPr>
      <w:ind w:leftChars="1400" w:left="2940"/>
    </w:pPr>
  </w:style>
  <w:style w:type="paragraph" w:styleId="7">
    <w:name w:val="toc 7"/>
    <w:basedOn w:val="a"/>
    <w:next w:val="a"/>
    <w:semiHidden/>
    <w:rsid w:val="00EC1D62"/>
    <w:pPr>
      <w:ind w:leftChars="1200" w:left="2520"/>
    </w:pPr>
  </w:style>
  <w:style w:type="paragraph" w:styleId="HTML">
    <w:name w:val="HTML Preformatted"/>
    <w:basedOn w:val="a"/>
    <w:link w:val="HTMLChar"/>
    <w:uiPriority w:val="99"/>
    <w:unhideWhenUsed/>
    <w:rsid w:val="00EC1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EC1D62"/>
    <w:rPr>
      <w:rFonts w:ascii="Courier New" w:eastAsia="宋体" w:hAnsi="Courier New" w:cs="Courier New"/>
      <w:sz w:val="20"/>
      <w:szCs w:val="20"/>
    </w:rPr>
  </w:style>
  <w:style w:type="paragraph" w:styleId="20">
    <w:name w:val="Body Text Indent 2"/>
    <w:basedOn w:val="a"/>
    <w:link w:val="2Char0"/>
    <w:rsid w:val="00EC1D62"/>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EC1D62"/>
    <w:rPr>
      <w:rFonts w:ascii="Times New Roman" w:eastAsia="宋体" w:hAnsi="Times New Roman" w:cs="Times New Roman"/>
      <w:szCs w:val="24"/>
    </w:rPr>
  </w:style>
  <w:style w:type="paragraph" w:styleId="a0">
    <w:name w:val="Normal Indent"/>
    <w:basedOn w:val="a"/>
    <w:rsid w:val="00EC1D62"/>
    <w:pPr>
      <w:ind w:firstLineChars="200" w:firstLine="420"/>
    </w:pPr>
  </w:style>
  <w:style w:type="paragraph" w:styleId="21">
    <w:name w:val="toc 2"/>
    <w:basedOn w:val="a"/>
    <w:next w:val="a"/>
    <w:semiHidden/>
    <w:rsid w:val="00EC1D62"/>
    <w:pPr>
      <w:ind w:leftChars="200" w:left="420"/>
    </w:pPr>
  </w:style>
  <w:style w:type="paragraph" w:styleId="6">
    <w:name w:val="toc 6"/>
    <w:basedOn w:val="a"/>
    <w:next w:val="a"/>
    <w:semiHidden/>
    <w:rsid w:val="00EC1D62"/>
    <w:pPr>
      <w:ind w:leftChars="1000" w:left="2100"/>
    </w:pPr>
  </w:style>
  <w:style w:type="paragraph" w:customStyle="1" w:styleId="wz1">
    <w:name w:val="wz1"/>
    <w:basedOn w:val="a"/>
    <w:rsid w:val="00EC1D6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rsid w:val="00EC1D62"/>
  </w:style>
  <w:style w:type="paragraph" w:styleId="af2">
    <w:name w:val="Revision"/>
    <w:uiPriority w:val="99"/>
    <w:semiHidden/>
    <w:rsid w:val="00EC1D62"/>
    <w:rPr>
      <w:rFonts w:ascii="Times New Roman" w:eastAsia="宋体" w:hAnsi="Times New Roman" w:cs="Times New Roman"/>
      <w:szCs w:val="24"/>
    </w:rPr>
  </w:style>
  <w:style w:type="paragraph" w:customStyle="1" w:styleId="Char17">
    <w:name w:val="Char1"/>
    <w:basedOn w:val="a"/>
    <w:rsid w:val="00EC1D62"/>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C1D62"/>
  </w:style>
  <w:style w:type="paragraph" w:customStyle="1" w:styleId="CharCharCharCharCharCharChar1CharCharCharCharCharChar">
    <w:name w:val="Char Char Char Char Char Char Char1 Char Char Char Char Char Char"/>
    <w:basedOn w:val="a"/>
    <w:rsid w:val="00EC1D62"/>
  </w:style>
  <w:style w:type="paragraph" w:customStyle="1" w:styleId="CharChar">
    <w:name w:val="Char Char"/>
    <w:basedOn w:val="a"/>
    <w:rsid w:val="00EC1D6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4841</Words>
  <Characters>27594</Characters>
  <Application>Microsoft Office Word</Application>
  <DocSecurity>0</DocSecurity>
  <Lines>229</Lines>
  <Paragraphs>64</Paragraphs>
  <ScaleCrop>false</ScaleCrop>
  <Company/>
  <LinksUpToDate>false</LinksUpToDate>
  <CharactersWithSpaces>32371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闫静</dc:creator>
  <cp:keywords/>
  <dc:description/>
  <cp:lastModifiedBy>闫静</cp:lastModifiedBy>
  <cp:revision>9</cp:revision>
  <cp:lastPrinted>2021-03-22T03:47:00Z</cp:lastPrinted>
  <dcterms:created xsi:type="dcterms:W3CDTF">2020-12-04T06:14:00Z</dcterms:created>
  <dcterms:modified xsi:type="dcterms:W3CDTF">2021-03-22T03:47:00Z</dcterms:modified>
</cp:coreProperties>
</file>