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605D3" w14:textId="77777777" w:rsidR="00B07A76" w:rsidRPr="00960C25" w:rsidRDefault="00B07A76" w:rsidP="00960C25">
      <w:pPr>
        <w:adjustRightInd w:val="0"/>
        <w:snapToGrid w:val="0"/>
        <w:spacing w:line="360" w:lineRule="auto"/>
        <w:jc w:val="center"/>
        <w:rPr>
          <w:rFonts w:asciiTheme="minorEastAsia" w:eastAsiaTheme="minorEastAsia" w:hAnsiTheme="minorEastAsia" w:cs="Arial"/>
          <w:sz w:val="24"/>
        </w:rPr>
      </w:pPr>
      <w:bookmarkStart w:id="0" w:name="_GoBack"/>
      <w:bookmarkEnd w:id="0"/>
    </w:p>
    <w:p w14:paraId="4E0A5D46" w14:textId="77777777" w:rsidR="00B07A76" w:rsidRPr="00960C25" w:rsidRDefault="00B07A76" w:rsidP="00960C25">
      <w:pPr>
        <w:adjustRightInd w:val="0"/>
        <w:snapToGrid w:val="0"/>
        <w:spacing w:line="360" w:lineRule="auto"/>
        <w:jc w:val="center"/>
        <w:rPr>
          <w:rFonts w:asciiTheme="minorEastAsia" w:eastAsiaTheme="minorEastAsia" w:hAnsiTheme="minorEastAsia" w:cs="Arial"/>
          <w:sz w:val="24"/>
        </w:rPr>
      </w:pPr>
    </w:p>
    <w:p w14:paraId="7EA9164D" w14:textId="77777777" w:rsidR="00B07A76" w:rsidRPr="00960C25" w:rsidRDefault="00B07A76" w:rsidP="00960C25">
      <w:pPr>
        <w:adjustRightInd w:val="0"/>
        <w:snapToGrid w:val="0"/>
        <w:spacing w:line="360" w:lineRule="auto"/>
        <w:jc w:val="center"/>
        <w:rPr>
          <w:rFonts w:asciiTheme="minorEastAsia" w:eastAsiaTheme="minorEastAsia" w:hAnsiTheme="minorEastAsia" w:cs="Arial"/>
          <w:sz w:val="24"/>
        </w:rPr>
      </w:pPr>
    </w:p>
    <w:p w14:paraId="0EECF9DB" w14:textId="77777777" w:rsidR="00B07A76" w:rsidRPr="00960C25" w:rsidRDefault="00B07A76" w:rsidP="00960C25">
      <w:pPr>
        <w:adjustRightInd w:val="0"/>
        <w:snapToGrid w:val="0"/>
        <w:spacing w:line="360" w:lineRule="auto"/>
        <w:jc w:val="center"/>
        <w:rPr>
          <w:rFonts w:asciiTheme="minorEastAsia" w:eastAsiaTheme="minorEastAsia" w:hAnsiTheme="minorEastAsia" w:cs="Arial"/>
          <w:sz w:val="24"/>
        </w:rPr>
      </w:pPr>
    </w:p>
    <w:p w14:paraId="3439EFD8" w14:textId="77777777" w:rsidR="00B07A76" w:rsidRPr="00960C25" w:rsidRDefault="00B07A76" w:rsidP="00960C25">
      <w:pPr>
        <w:adjustRightInd w:val="0"/>
        <w:snapToGrid w:val="0"/>
        <w:spacing w:line="360" w:lineRule="auto"/>
        <w:jc w:val="center"/>
        <w:rPr>
          <w:rFonts w:asciiTheme="minorEastAsia" w:eastAsiaTheme="minorEastAsia" w:hAnsiTheme="minorEastAsia" w:cs="Arial"/>
          <w:sz w:val="24"/>
        </w:rPr>
      </w:pPr>
    </w:p>
    <w:p w14:paraId="2DB30E88" w14:textId="77777777" w:rsidR="00B07A76" w:rsidRPr="00960C25" w:rsidRDefault="00B07A76" w:rsidP="00960C25">
      <w:pPr>
        <w:adjustRightInd w:val="0"/>
        <w:snapToGrid w:val="0"/>
        <w:spacing w:line="360" w:lineRule="auto"/>
        <w:jc w:val="center"/>
        <w:rPr>
          <w:rFonts w:asciiTheme="minorEastAsia" w:eastAsiaTheme="minorEastAsia" w:hAnsiTheme="minorEastAsia" w:cs="Arial"/>
          <w:sz w:val="24"/>
        </w:rPr>
      </w:pPr>
    </w:p>
    <w:p w14:paraId="494141CF" w14:textId="77777777" w:rsidR="00B07A76" w:rsidRPr="00960C25" w:rsidRDefault="00B07A76" w:rsidP="00960C25">
      <w:pPr>
        <w:adjustRightInd w:val="0"/>
        <w:snapToGrid w:val="0"/>
        <w:spacing w:line="360" w:lineRule="auto"/>
        <w:jc w:val="center"/>
        <w:rPr>
          <w:rFonts w:asciiTheme="minorEastAsia" w:eastAsiaTheme="minorEastAsia" w:hAnsiTheme="minorEastAsia" w:cs="Arial"/>
          <w:sz w:val="24"/>
        </w:rPr>
      </w:pPr>
    </w:p>
    <w:p w14:paraId="67868A33" w14:textId="77777777" w:rsidR="00B07A76" w:rsidRPr="00960C25" w:rsidRDefault="00B07A76" w:rsidP="00960C25">
      <w:pPr>
        <w:adjustRightInd w:val="0"/>
        <w:snapToGrid w:val="0"/>
        <w:spacing w:line="360" w:lineRule="auto"/>
        <w:jc w:val="center"/>
        <w:rPr>
          <w:rFonts w:asciiTheme="minorEastAsia" w:eastAsiaTheme="minorEastAsia" w:hAnsiTheme="minorEastAsia" w:cs="Arial"/>
          <w:sz w:val="24"/>
        </w:rPr>
      </w:pPr>
    </w:p>
    <w:p w14:paraId="0F718010" w14:textId="3A9758CD" w:rsidR="00B07A76" w:rsidRPr="00960C25" w:rsidRDefault="005916C4" w:rsidP="00960C25">
      <w:pPr>
        <w:adjustRightInd w:val="0"/>
        <w:snapToGrid w:val="0"/>
        <w:spacing w:line="360" w:lineRule="auto"/>
        <w:jc w:val="center"/>
        <w:rPr>
          <w:rFonts w:asciiTheme="minorEastAsia" w:eastAsiaTheme="minorEastAsia" w:hAnsiTheme="minorEastAsia" w:cs="Arial"/>
          <w:b/>
          <w:sz w:val="36"/>
          <w:szCs w:val="36"/>
        </w:rPr>
      </w:pPr>
      <w:r w:rsidRPr="00960C25">
        <w:rPr>
          <w:rFonts w:asciiTheme="minorEastAsia" w:eastAsiaTheme="minorEastAsia" w:hAnsiTheme="minorEastAsia" w:cs="Arial" w:hint="eastAsia"/>
          <w:b/>
          <w:sz w:val="36"/>
          <w:szCs w:val="36"/>
        </w:rPr>
        <w:t>汇添富稳进双盈一年持有期混合型证券投资基金</w:t>
      </w:r>
    </w:p>
    <w:p w14:paraId="104AAE1F" w14:textId="20FF9930" w:rsidR="00B07A76" w:rsidRPr="00960C25" w:rsidRDefault="005916C4" w:rsidP="00960C25">
      <w:pPr>
        <w:adjustRightInd w:val="0"/>
        <w:snapToGrid w:val="0"/>
        <w:spacing w:line="360" w:lineRule="auto"/>
        <w:jc w:val="center"/>
        <w:rPr>
          <w:rFonts w:asciiTheme="minorEastAsia" w:eastAsiaTheme="minorEastAsia" w:hAnsiTheme="minorEastAsia" w:cs="Arial"/>
          <w:b/>
          <w:sz w:val="36"/>
          <w:szCs w:val="36"/>
        </w:rPr>
      </w:pPr>
      <w:r w:rsidRPr="00960C25">
        <w:rPr>
          <w:rFonts w:asciiTheme="minorEastAsia" w:eastAsiaTheme="minorEastAsia" w:hAnsiTheme="minorEastAsia" w:cs="Arial" w:hint="eastAsia"/>
          <w:b/>
          <w:sz w:val="36"/>
          <w:szCs w:val="36"/>
        </w:rPr>
        <w:t>托管协议</w:t>
      </w:r>
    </w:p>
    <w:p w14:paraId="1C06999B"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443F8794"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5441226A" w14:textId="77777777" w:rsidR="00B07A76" w:rsidRPr="00960C25" w:rsidRDefault="00B07A76" w:rsidP="00960C25">
      <w:pPr>
        <w:adjustRightInd w:val="0"/>
        <w:snapToGrid w:val="0"/>
        <w:spacing w:line="360" w:lineRule="auto"/>
        <w:outlineLvl w:val="0"/>
        <w:rPr>
          <w:rFonts w:asciiTheme="minorEastAsia" w:eastAsiaTheme="minorEastAsia" w:hAnsiTheme="minorEastAsia" w:cs="Arial"/>
          <w:sz w:val="24"/>
        </w:rPr>
      </w:pPr>
    </w:p>
    <w:p w14:paraId="61D21AB1"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5456DE81"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23A2CB6A"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37625F1A"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53E727C2"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65ED29F9"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56700FE5"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241EA740" w14:textId="77777777" w:rsidR="00B07A76" w:rsidRPr="00960C25" w:rsidRDefault="005916C4" w:rsidP="00960C25">
      <w:pPr>
        <w:adjustRightInd w:val="0"/>
        <w:snapToGrid w:val="0"/>
        <w:spacing w:line="360" w:lineRule="auto"/>
        <w:jc w:val="center"/>
        <w:outlineLvl w:val="0"/>
        <w:rPr>
          <w:rFonts w:asciiTheme="minorEastAsia" w:eastAsiaTheme="minorEastAsia" w:hAnsiTheme="minorEastAsia" w:cs="Arial"/>
          <w:b/>
          <w:bCs/>
          <w:sz w:val="32"/>
          <w:szCs w:val="32"/>
        </w:rPr>
      </w:pPr>
      <w:r w:rsidRPr="00960C25">
        <w:rPr>
          <w:rFonts w:asciiTheme="minorEastAsia" w:eastAsiaTheme="minorEastAsia" w:hAnsiTheme="minorEastAsia" w:cs="Arial" w:hint="eastAsia"/>
          <w:b/>
          <w:bCs/>
          <w:sz w:val="32"/>
          <w:szCs w:val="32"/>
        </w:rPr>
        <w:t>基金管理人：汇添富基金管理股份有限公司</w:t>
      </w:r>
    </w:p>
    <w:p w14:paraId="4702FAAC" w14:textId="77777777" w:rsidR="00B07A76" w:rsidRPr="00960C25" w:rsidRDefault="005916C4" w:rsidP="00960C25">
      <w:pPr>
        <w:adjustRightInd w:val="0"/>
        <w:snapToGrid w:val="0"/>
        <w:spacing w:line="360" w:lineRule="auto"/>
        <w:jc w:val="center"/>
        <w:outlineLvl w:val="0"/>
        <w:rPr>
          <w:rFonts w:asciiTheme="minorEastAsia" w:eastAsiaTheme="minorEastAsia" w:hAnsiTheme="minorEastAsia" w:cs="Arial"/>
          <w:b/>
          <w:bCs/>
          <w:sz w:val="32"/>
          <w:szCs w:val="32"/>
        </w:rPr>
      </w:pPr>
      <w:r w:rsidRPr="00960C25">
        <w:rPr>
          <w:rFonts w:asciiTheme="minorEastAsia" w:eastAsiaTheme="minorEastAsia" w:hAnsiTheme="minorEastAsia" w:cs="Arial" w:hint="eastAsia"/>
          <w:b/>
          <w:bCs/>
          <w:sz w:val="32"/>
          <w:szCs w:val="32"/>
        </w:rPr>
        <w:t>基金托管人：中国建设银行股份有限公司</w:t>
      </w:r>
    </w:p>
    <w:p w14:paraId="585769B5"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2C7F1AB3"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2330059E"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045447E8" w14:textId="77777777" w:rsidR="00B07A76" w:rsidRPr="00960C25" w:rsidRDefault="00B07A76" w:rsidP="00960C25">
      <w:pPr>
        <w:adjustRightInd w:val="0"/>
        <w:snapToGrid w:val="0"/>
        <w:spacing w:line="360" w:lineRule="auto"/>
        <w:jc w:val="center"/>
        <w:outlineLvl w:val="0"/>
        <w:rPr>
          <w:rFonts w:asciiTheme="minorEastAsia" w:eastAsiaTheme="minorEastAsia" w:hAnsiTheme="minorEastAsia" w:cs="Arial"/>
          <w:sz w:val="24"/>
        </w:rPr>
      </w:pPr>
    </w:p>
    <w:p w14:paraId="47925F5F" w14:textId="77777777" w:rsidR="00B07A76" w:rsidRPr="00960C25" w:rsidRDefault="005916C4" w:rsidP="00960C25">
      <w:pPr>
        <w:adjustRightInd w:val="0"/>
        <w:snapToGrid w:val="0"/>
        <w:spacing w:line="360" w:lineRule="auto"/>
        <w:outlineLvl w:val="0"/>
        <w:rPr>
          <w:rFonts w:asciiTheme="minorEastAsia" w:eastAsiaTheme="minorEastAsia" w:hAnsiTheme="minorEastAsia" w:cs="Arial"/>
          <w:bCs/>
          <w:sz w:val="24"/>
        </w:rPr>
        <w:sectPr w:rsidR="00B07A76" w:rsidRPr="00960C25">
          <w:footerReference w:type="even" r:id="rId8"/>
          <w:pgSz w:w="11906" w:h="16838"/>
          <w:pgMar w:top="1418" w:right="1701" w:bottom="1418" w:left="1701" w:header="851" w:footer="992" w:gutter="0"/>
          <w:cols w:space="425"/>
          <w:docGrid w:type="lines" w:linePitch="312"/>
        </w:sectPr>
      </w:pPr>
      <w:r w:rsidRPr="00960C25">
        <w:rPr>
          <w:rFonts w:asciiTheme="minorEastAsia" w:eastAsiaTheme="minorEastAsia" w:hAnsiTheme="minorEastAsia" w:cs="Arial" w:hint="eastAsia"/>
          <w:sz w:val="24"/>
        </w:rPr>
        <w:t xml:space="preserve">                            </w:t>
      </w:r>
    </w:p>
    <w:p w14:paraId="5561900F" w14:textId="77777777" w:rsidR="00B07A76" w:rsidRPr="00960C25" w:rsidRDefault="005916C4" w:rsidP="00960C25">
      <w:pPr>
        <w:spacing w:line="360" w:lineRule="auto"/>
        <w:jc w:val="center"/>
        <w:rPr>
          <w:rFonts w:asciiTheme="minorEastAsia" w:eastAsiaTheme="minorEastAsia" w:hAnsiTheme="minorEastAsia"/>
          <w:b/>
          <w:bCs/>
          <w:sz w:val="24"/>
        </w:rPr>
      </w:pPr>
      <w:r w:rsidRPr="00960C25">
        <w:rPr>
          <w:rFonts w:asciiTheme="minorEastAsia" w:eastAsiaTheme="minorEastAsia" w:hAnsiTheme="minorEastAsia" w:hint="eastAsia"/>
          <w:b/>
          <w:bCs/>
          <w:sz w:val="24"/>
        </w:rPr>
        <w:lastRenderedPageBreak/>
        <w:t>目    录</w:t>
      </w:r>
    </w:p>
    <w:p w14:paraId="1AE07368" w14:textId="5B369447" w:rsidR="00B07A76" w:rsidRPr="00960C25" w:rsidRDefault="005916C4" w:rsidP="00960C25">
      <w:pPr>
        <w:pStyle w:val="21"/>
        <w:spacing w:line="360" w:lineRule="auto"/>
        <w:rPr>
          <w:rFonts w:asciiTheme="minorEastAsia" w:eastAsiaTheme="minorEastAsia" w:hAnsiTheme="minorEastAsia"/>
          <w:noProof/>
          <w:sz w:val="24"/>
        </w:rPr>
      </w:pPr>
      <w:r w:rsidRPr="00960C25">
        <w:rPr>
          <w:rFonts w:asciiTheme="minorEastAsia" w:eastAsiaTheme="minorEastAsia" w:hAnsiTheme="minorEastAsia" w:hint="eastAsia"/>
          <w:sz w:val="24"/>
        </w:rPr>
        <w:fldChar w:fldCharType="begin"/>
      </w:r>
      <w:r w:rsidRPr="00960C25">
        <w:rPr>
          <w:rFonts w:asciiTheme="minorEastAsia" w:eastAsiaTheme="minorEastAsia" w:hAnsiTheme="minorEastAsia" w:hint="eastAsia"/>
          <w:sz w:val="24"/>
        </w:rPr>
        <w:instrText xml:space="preserve"> TOC \o "1-2" \h \z </w:instrText>
      </w:r>
      <w:r w:rsidRPr="00960C25">
        <w:rPr>
          <w:rFonts w:asciiTheme="minorEastAsia" w:eastAsiaTheme="minorEastAsia" w:hAnsiTheme="minorEastAsia" w:hint="eastAsia"/>
          <w:sz w:val="24"/>
        </w:rPr>
        <w:fldChar w:fldCharType="separate"/>
      </w:r>
      <w:hyperlink w:anchor="_Toc124325885" w:history="1">
        <w:r w:rsidRPr="00960C25">
          <w:rPr>
            <w:rStyle w:val="af"/>
            <w:rFonts w:asciiTheme="minorEastAsia" w:eastAsiaTheme="minorEastAsia" w:hAnsiTheme="minorEastAsia" w:hint="eastAsia"/>
            <w:noProof/>
            <w:sz w:val="24"/>
          </w:rPr>
          <w:t>一、基金托管协议当事人</w:t>
        </w:r>
        <w:r w:rsidRPr="00960C25">
          <w:rPr>
            <w:rFonts w:asciiTheme="minorEastAsia" w:eastAsiaTheme="minorEastAsia" w:hAnsiTheme="minorEastAsia" w:hint="eastAsia"/>
            <w:noProof/>
            <w:sz w:val="24"/>
          </w:rPr>
          <w:tab/>
        </w:r>
        <w:r w:rsidRPr="00960C25">
          <w:rPr>
            <w:rFonts w:asciiTheme="minorEastAsia" w:eastAsiaTheme="minorEastAsia" w:hAnsiTheme="minorEastAsia" w:hint="eastAsia"/>
            <w:noProof/>
            <w:sz w:val="24"/>
          </w:rPr>
          <w:fldChar w:fldCharType="begin"/>
        </w:r>
        <w:r w:rsidRPr="00960C25">
          <w:rPr>
            <w:rFonts w:asciiTheme="minorEastAsia" w:eastAsiaTheme="minorEastAsia" w:hAnsiTheme="minorEastAsia" w:hint="eastAsia"/>
            <w:noProof/>
            <w:sz w:val="24"/>
          </w:rPr>
          <w:instrText xml:space="preserve"> PAGEREF _Toc124325885 \h </w:instrText>
        </w:r>
        <w:r w:rsidRPr="00960C25">
          <w:rPr>
            <w:rFonts w:asciiTheme="minorEastAsia" w:eastAsiaTheme="minorEastAsia" w:hAnsiTheme="minorEastAsia" w:hint="eastAsia"/>
            <w:noProof/>
            <w:sz w:val="24"/>
          </w:rPr>
        </w:r>
        <w:r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1</w:t>
        </w:r>
        <w:r w:rsidRPr="00960C25">
          <w:rPr>
            <w:rFonts w:asciiTheme="minorEastAsia" w:eastAsiaTheme="minorEastAsia" w:hAnsiTheme="minorEastAsia" w:hint="eastAsia"/>
            <w:noProof/>
            <w:sz w:val="24"/>
          </w:rPr>
          <w:fldChar w:fldCharType="end"/>
        </w:r>
      </w:hyperlink>
    </w:p>
    <w:p w14:paraId="2FB81C19" w14:textId="57E33F88" w:rsidR="00B07A76" w:rsidRPr="00960C25" w:rsidRDefault="00C50074" w:rsidP="00960C25">
      <w:pPr>
        <w:pStyle w:val="21"/>
        <w:spacing w:line="360" w:lineRule="auto"/>
        <w:rPr>
          <w:rFonts w:asciiTheme="minorEastAsia" w:eastAsiaTheme="minorEastAsia" w:hAnsiTheme="minorEastAsia"/>
          <w:noProof/>
          <w:sz w:val="24"/>
        </w:rPr>
      </w:pPr>
      <w:hyperlink w:anchor="_Toc124325886" w:history="1">
        <w:r w:rsidR="005916C4" w:rsidRPr="00960C25">
          <w:rPr>
            <w:rStyle w:val="af"/>
            <w:rFonts w:asciiTheme="minorEastAsia" w:eastAsiaTheme="minorEastAsia" w:hAnsiTheme="minorEastAsia" w:hint="eastAsia"/>
            <w:noProof/>
            <w:sz w:val="24"/>
          </w:rPr>
          <w:t>二、基金托管协议的依据、目的和原则</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_Toc124325886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2</w:t>
        </w:r>
        <w:r w:rsidR="005916C4" w:rsidRPr="00960C25">
          <w:rPr>
            <w:rFonts w:asciiTheme="minorEastAsia" w:eastAsiaTheme="minorEastAsia" w:hAnsiTheme="minorEastAsia" w:hint="eastAsia"/>
            <w:noProof/>
            <w:sz w:val="24"/>
          </w:rPr>
          <w:fldChar w:fldCharType="end"/>
        </w:r>
      </w:hyperlink>
    </w:p>
    <w:p w14:paraId="451AB137" w14:textId="44093925" w:rsidR="00B07A76" w:rsidRPr="00960C25" w:rsidRDefault="00C50074" w:rsidP="00960C25">
      <w:pPr>
        <w:pStyle w:val="21"/>
        <w:spacing w:line="360" w:lineRule="auto"/>
        <w:rPr>
          <w:rFonts w:asciiTheme="minorEastAsia" w:eastAsiaTheme="minorEastAsia" w:hAnsiTheme="minorEastAsia"/>
          <w:noProof/>
          <w:sz w:val="24"/>
        </w:rPr>
      </w:pPr>
      <w:hyperlink w:anchor="_Toc124325887" w:history="1">
        <w:r w:rsidR="005916C4" w:rsidRPr="00960C25">
          <w:rPr>
            <w:rStyle w:val="af"/>
            <w:rFonts w:asciiTheme="minorEastAsia" w:eastAsiaTheme="minorEastAsia" w:hAnsiTheme="minorEastAsia" w:hint="eastAsia"/>
            <w:noProof/>
            <w:sz w:val="24"/>
          </w:rPr>
          <w:t>三、基金托管人对基金管理人的业务监督和核查</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_Toc124325887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w:t>
        </w:r>
        <w:r w:rsidR="005916C4" w:rsidRPr="00960C25">
          <w:rPr>
            <w:rFonts w:asciiTheme="minorEastAsia" w:eastAsiaTheme="minorEastAsia" w:hAnsiTheme="minorEastAsia" w:hint="eastAsia"/>
            <w:noProof/>
            <w:sz w:val="24"/>
          </w:rPr>
          <w:fldChar w:fldCharType="end"/>
        </w:r>
      </w:hyperlink>
    </w:p>
    <w:p w14:paraId="2C0D656C" w14:textId="30E21A22" w:rsidR="00B07A76" w:rsidRPr="00960C25" w:rsidRDefault="00C50074" w:rsidP="00960C25">
      <w:pPr>
        <w:pStyle w:val="21"/>
        <w:spacing w:line="360" w:lineRule="auto"/>
        <w:rPr>
          <w:rFonts w:asciiTheme="minorEastAsia" w:eastAsiaTheme="minorEastAsia" w:hAnsiTheme="minorEastAsia"/>
          <w:noProof/>
          <w:sz w:val="24"/>
        </w:rPr>
      </w:pPr>
      <w:hyperlink w:anchor="_Toc124325888" w:history="1">
        <w:r w:rsidR="005916C4" w:rsidRPr="00960C25">
          <w:rPr>
            <w:rStyle w:val="af"/>
            <w:rFonts w:asciiTheme="minorEastAsia" w:eastAsiaTheme="minorEastAsia" w:hAnsiTheme="minorEastAsia" w:hint="eastAsia"/>
            <w:noProof/>
            <w:sz w:val="24"/>
          </w:rPr>
          <w:t>四、基金管理人对基金托管人的业务核查</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_Toc124325888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10</w:t>
        </w:r>
        <w:r w:rsidR="005916C4" w:rsidRPr="00960C25">
          <w:rPr>
            <w:rFonts w:asciiTheme="minorEastAsia" w:eastAsiaTheme="minorEastAsia" w:hAnsiTheme="minorEastAsia" w:hint="eastAsia"/>
            <w:noProof/>
            <w:sz w:val="24"/>
          </w:rPr>
          <w:fldChar w:fldCharType="end"/>
        </w:r>
      </w:hyperlink>
    </w:p>
    <w:p w14:paraId="18F89CEE" w14:textId="6D114E16" w:rsidR="00B07A76" w:rsidRPr="00960C25" w:rsidRDefault="00C50074" w:rsidP="00960C25">
      <w:pPr>
        <w:pStyle w:val="21"/>
        <w:spacing w:line="360" w:lineRule="auto"/>
        <w:rPr>
          <w:rFonts w:asciiTheme="minorEastAsia" w:eastAsiaTheme="minorEastAsia" w:hAnsiTheme="minorEastAsia"/>
          <w:noProof/>
          <w:sz w:val="24"/>
        </w:rPr>
      </w:pPr>
      <w:hyperlink w:anchor="_Toc124325889" w:history="1">
        <w:r w:rsidR="005916C4" w:rsidRPr="00960C25">
          <w:rPr>
            <w:rStyle w:val="af"/>
            <w:rFonts w:asciiTheme="minorEastAsia" w:eastAsiaTheme="minorEastAsia" w:hAnsiTheme="minorEastAsia" w:hint="eastAsia"/>
            <w:noProof/>
            <w:sz w:val="24"/>
          </w:rPr>
          <w:t>五、基金财产的保管</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_Toc124325889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10</w:t>
        </w:r>
        <w:r w:rsidR="005916C4" w:rsidRPr="00960C25">
          <w:rPr>
            <w:rFonts w:asciiTheme="minorEastAsia" w:eastAsiaTheme="minorEastAsia" w:hAnsiTheme="minorEastAsia" w:hint="eastAsia"/>
            <w:noProof/>
            <w:sz w:val="24"/>
          </w:rPr>
          <w:fldChar w:fldCharType="end"/>
        </w:r>
      </w:hyperlink>
    </w:p>
    <w:p w14:paraId="14A90EE3" w14:textId="4BED83A0" w:rsidR="00B07A76" w:rsidRPr="00960C25" w:rsidRDefault="00C50074" w:rsidP="00960C25">
      <w:pPr>
        <w:pStyle w:val="21"/>
        <w:spacing w:line="360" w:lineRule="auto"/>
        <w:rPr>
          <w:rFonts w:asciiTheme="minorEastAsia" w:eastAsiaTheme="minorEastAsia" w:hAnsiTheme="minorEastAsia"/>
          <w:noProof/>
          <w:sz w:val="24"/>
        </w:rPr>
      </w:pPr>
      <w:hyperlink w:anchor="_Toc124325890" w:history="1">
        <w:r w:rsidR="005916C4" w:rsidRPr="00960C25">
          <w:rPr>
            <w:rStyle w:val="af"/>
            <w:rFonts w:asciiTheme="minorEastAsia" w:eastAsiaTheme="minorEastAsia" w:hAnsiTheme="minorEastAsia" w:hint="eastAsia"/>
            <w:noProof/>
            <w:sz w:val="24"/>
          </w:rPr>
          <w:t>六、指令的发送、确认及执行</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_Toc124325890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14</w:t>
        </w:r>
        <w:r w:rsidR="005916C4" w:rsidRPr="00960C25">
          <w:rPr>
            <w:rFonts w:asciiTheme="minorEastAsia" w:eastAsiaTheme="minorEastAsia" w:hAnsiTheme="minorEastAsia" w:hint="eastAsia"/>
            <w:noProof/>
            <w:sz w:val="24"/>
          </w:rPr>
          <w:fldChar w:fldCharType="end"/>
        </w:r>
      </w:hyperlink>
    </w:p>
    <w:p w14:paraId="34ACC553" w14:textId="71DF5EAC" w:rsidR="00B07A76" w:rsidRPr="00960C25" w:rsidRDefault="00C50074" w:rsidP="00960C25">
      <w:pPr>
        <w:pStyle w:val="21"/>
        <w:spacing w:line="360" w:lineRule="auto"/>
        <w:rPr>
          <w:rFonts w:asciiTheme="minorEastAsia" w:eastAsiaTheme="minorEastAsia" w:hAnsiTheme="minorEastAsia"/>
          <w:noProof/>
          <w:sz w:val="24"/>
        </w:rPr>
      </w:pPr>
      <w:hyperlink w:anchor="_Toc124325891" w:history="1">
        <w:r w:rsidR="005916C4" w:rsidRPr="00960C25">
          <w:rPr>
            <w:rStyle w:val="af"/>
            <w:rFonts w:asciiTheme="minorEastAsia" w:eastAsiaTheme="minorEastAsia" w:hAnsiTheme="minorEastAsia" w:hint="eastAsia"/>
            <w:noProof/>
            <w:sz w:val="24"/>
          </w:rPr>
          <w:t>七、交易及清算交收安排</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_Toc124325891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16</w:t>
        </w:r>
        <w:r w:rsidR="005916C4" w:rsidRPr="00960C25">
          <w:rPr>
            <w:rFonts w:asciiTheme="minorEastAsia" w:eastAsiaTheme="minorEastAsia" w:hAnsiTheme="minorEastAsia" w:hint="eastAsia"/>
            <w:noProof/>
            <w:sz w:val="24"/>
          </w:rPr>
          <w:fldChar w:fldCharType="end"/>
        </w:r>
      </w:hyperlink>
    </w:p>
    <w:p w14:paraId="631AD718" w14:textId="213FEC9D" w:rsidR="00B07A76" w:rsidRPr="00960C25" w:rsidRDefault="00C50074" w:rsidP="00960C25">
      <w:pPr>
        <w:pStyle w:val="21"/>
        <w:spacing w:line="360" w:lineRule="auto"/>
        <w:rPr>
          <w:rFonts w:asciiTheme="minorEastAsia" w:eastAsiaTheme="minorEastAsia" w:hAnsiTheme="minorEastAsia"/>
          <w:noProof/>
          <w:sz w:val="24"/>
        </w:rPr>
      </w:pPr>
      <w:hyperlink w:anchor="_Toc124325892" w:history="1">
        <w:r w:rsidR="005916C4" w:rsidRPr="00960C25">
          <w:rPr>
            <w:rStyle w:val="af"/>
            <w:rFonts w:asciiTheme="minorEastAsia" w:eastAsiaTheme="minorEastAsia" w:hAnsiTheme="minorEastAsia" w:hint="eastAsia"/>
            <w:noProof/>
            <w:sz w:val="24"/>
          </w:rPr>
          <w:t>八、基金资产净值计算和会计核算</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_Toc124325892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21</w:t>
        </w:r>
        <w:r w:rsidR="005916C4" w:rsidRPr="00960C25">
          <w:rPr>
            <w:rFonts w:asciiTheme="minorEastAsia" w:eastAsiaTheme="minorEastAsia" w:hAnsiTheme="minorEastAsia" w:hint="eastAsia"/>
            <w:noProof/>
            <w:sz w:val="24"/>
          </w:rPr>
          <w:fldChar w:fldCharType="end"/>
        </w:r>
      </w:hyperlink>
    </w:p>
    <w:p w14:paraId="17BA9AAC" w14:textId="2C650DE4" w:rsidR="00B07A76" w:rsidRPr="00960C25" w:rsidRDefault="00C50074" w:rsidP="00960C25">
      <w:pPr>
        <w:pStyle w:val="21"/>
        <w:spacing w:line="360" w:lineRule="auto"/>
        <w:rPr>
          <w:rFonts w:asciiTheme="minorEastAsia" w:eastAsiaTheme="minorEastAsia" w:hAnsiTheme="minorEastAsia"/>
          <w:noProof/>
          <w:sz w:val="24"/>
        </w:rPr>
      </w:pPr>
      <w:hyperlink w:anchor="_Toc124325893" w:history="1">
        <w:r w:rsidR="005916C4" w:rsidRPr="00960C25">
          <w:rPr>
            <w:rStyle w:val="af"/>
            <w:rFonts w:asciiTheme="minorEastAsia" w:eastAsiaTheme="minorEastAsia" w:hAnsiTheme="minorEastAsia" w:hint="eastAsia"/>
            <w:noProof/>
            <w:sz w:val="24"/>
          </w:rPr>
          <w:t>九、基金收益分配</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_Toc124325893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27</w:t>
        </w:r>
        <w:r w:rsidR="005916C4" w:rsidRPr="00960C25">
          <w:rPr>
            <w:rFonts w:asciiTheme="minorEastAsia" w:eastAsiaTheme="minorEastAsia" w:hAnsiTheme="minorEastAsia" w:hint="eastAsia"/>
            <w:noProof/>
            <w:sz w:val="24"/>
          </w:rPr>
          <w:fldChar w:fldCharType="end"/>
        </w:r>
      </w:hyperlink>
    </w:p>
    <w:p w14:paraId="6CCC81FD" w14:textId="3BD2A8EA" w:rsidR="00B07A76" w:rsidRPr="00960C25" w:rsidRDefault="00C50074" w:rsidP="00960C25">
      <w:pPr>
        <w:pStyle w:val="21"/>
        <w:spacing w:line="360" w:lineRule="auto"/>
        <w:rPr>
          <w:rFonts w:asciiTheme="minorEastAsia" w:eastAsiaTheme="minorEastAsia" w:hAnsiTheme="minorEastAsia"/>
          <w:noProof/>
          <w:sz w:val="24"/>
        </w:rPr>
      </w:pPr>
      <w:hyperlink w:anchor="_Toc124325894" w:history="1">
        <w:r w:rsidR="005916C4" w:rsidRPr="00960C25">
          <w:rPr>
            <w:rStyle w:val="af"/>
            <w:rFonts w:asciiTheme="minorEastAsia" w:eastAsiaTheme="minorEastAsia" w:hAnsiTheme="minorEastAsia" w:hint="eastAsia"/>
            <w:noProof/>
            <w:sz w:val="24"/>
          </w:rPr>
          <w:t>十、基金信息披露</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_Toc124325894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28</w:t>
        </w:r>
        <w:r w:rsidR="005916C4" w:rsidRPr="00960C25">
          <w:rPr>
            <w:rFonts w:asciiTheme="minorEastAsia" w:eastAsiaTheme="minorEastAsia" w:hAnsiTheme="minorEastAsia" w:hint="eastAsia"/>
            <w:noProof/>
            <w:sz w:val="24"/>
          </w:rPr>
          <w:fldChar w:fldCharType="end"/>
        </w:r>
      </w:hyperlink>
    </w:p>
    <w:p w14:paraId="7CA3A804" w14:textId="1BA6DE9E" w:rsidR="00B07A76" w:rsidRPr="00960C25" w:rsidRDefault="00C50074" w:rsidP="00960C25">
      <w:pPr>
        <w:pStyle w:val="21"/>
        <w:spacing w:line="360" w:lineRule="auto"/>
        <w:rPr>
          <w:rFonts w:asciiTheme="minorEastAsia" w:eastAsiaTheme="minorEastAsia" w:hAnsiTheme="minorEastAsia"/>
          <w:noProof/>
          <w:sz w:val="24"/>
        </w:rPr>
      </w:pPr>
      <w:hyperlink w:anchor="_Toc124325895" w:history="1">
        <w:r w:rsidR="005916C4" w:rsidRPr="00960C25">
          <w:rPr>
            <w:rStyle w:val="af"/>
            <w:rFonts w:asciiTheme="minorEastAsia" w:eastAsiaTheme="minorEastAsia" w:hAnsiTheme="minorEastAsia" w:hint="eastAsia"/>
            <w:noProof/>
            <w:sz w:val="24"/>
          </w:rPr>
          <w:t>十一、基金费用</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_Toc124325895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30</w:t>
        </w:r>
        <w:r w:rsidR="005916C4" w:rsidRPr="00960C25">
          <w:rPr>
            <w:rFonts w:asciiTheme="minorEastAsia" w:eastAsiaTheme="minorEastAsia" w:hAnsiTheme="minorEastAsia" w:hint="eastAsia"/>
            <w:noProof/>
            <w:sz w:val="24"/>
          </w:rPr>
          <w:fldChar w:fldCharType="end"/>
        </w:r>
      </w:hyperlink>
    </w:p>
    <w:p w14:paraId="2D718AE1" w14:textId="6BB7236B" w:rsidR="00B07A76" w:rsidRPr="00960C25" w:rsidRDefault="00C50074" w:rsidP="00960C25">
      <w:pPr>
        <w:pStyle w:val="21"/>
        <w:spacing w:line="360" w:lineRule="auto"/>
        <w:rPr>
          <w:rFonts w:asciiTheme="minorEastAsia" w:eastAsiaTheme="minorEastAsia" w:hAnsiTheme="minorEastAsia"/>
          <w:noProof/>
          <w:sz w:val="24"/>
        </w:rPr>
      </w:pPr>
      <w:hyperlink w:anchor="_Toc124325896" w:history="1">
        <w:r w:rsidR="005916C4" w:rsidRPr="00960C25">
          <w:rPr>
            <w:rStyle w:val="af"/>
            <w:rFonts w:asciiTheme="minorEastAsia" w:eastAsiaTheme="minorEastAsia" w:hAnsiTheme="minorEastAsia" w:hint="eastAsia"/>
            <w:noProof/>
            <w:sz w:val="24"/>
          </w:rPr>
          <w:t>十二、基金份额持有人名册的保管</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_Toc124325896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32</w:t>
        </w:r>
        <w:r w:rsidR="005916C4" w:rsidRPr="00960C25">
          <w:rPr>
            <w:rFonts w:asciiTheme="minorEastAsia" w:eastAsiaTheme="minorEastAsia" w:hAnsiTheme="minorEastAsia" w:hint="eastAsia"/>
            <w:noProof/>
            <w:sz w:val="24"/>
          </w:rPr>
          <w:fldChar w:fldCharType="end"/>
        </w:r>
      </w:hyperlink>
    </w:p>
    <w:p w14:paraId="77E9A317" w14:textId="6BD6BFC5" w:rsidR="00B07A76" w:rsidRPr="00960C25" w:rsidRDefault="00C50074" w:rsidP="00960C25">
      <w:pPr>
        <w:pStyle w:val="21"/>
        <w:spacing w:line="360" w:lineRule="auto"/>
        <w:rPr>
          <w:rFonts w:asciiTheme="minorEastAsia" w:eastAsiaTheme="minorEastAsia" w:hAnsiTheme="minorEastAsia"/>
          <w:noProof/>
          <w:sz w:val="24"/>
        </w:rPr>
      </w:pPr>
      <w:hyperlink w:anchor="_Toc124325897" w:history="1">
        <w:r w:rsidR="005916C4" w:rsidRPr="00960C25">
          <w:rPr>
            <w:rStyle w:val="af"/>
            <w:rFonts w:asciiTheme="minorEastAsia" w:eastAsiaTheme="minorEastAsia" w:hAnsiTheme="minorEastAsia" w:hint="eastAsia"/>
            <w:noProof/>
            <w:sz w:val="24"/>
          </w:rPr>
          <w:t>十三、基金有关文件档案的保存</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_Toc124325897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32</w:t>
        </w:r>
        <w:r w:rsidR="005916C4" w:rsidRPr="00960C25">
          <w:rPr>
            <w:rFonts w:asciiTheme="minorEastAsia" w:eastAsiaTheme="minorEastAsia" w:hAnsiTheme="minorEastAsia" w:hint="eastAsia"/>
            <w:noProof/>
            <w:sz w:val="24"/>
          </w:rPr>
          <w:fldChar w:fldCharType="end"/>
        </w:r>
      </w:hyperlink>
    </w:p>
    <w:p w14:paraId="5922A2E3" w14:textId="2887EB2B" w:rsidR="00B07A76" w:rsidRPr="00960C25" w:rsidRDefault="00C50074" w:rsidP="00960C25">
      <w:pPr>
        <w:pStyle w:val="21"/>
        <w:spacing w:line="360" w:lineRule="auto"/>
        <w:rPr>
          <w:rFonts w:asciiTheme="minorEastAsia" w:eastAsiaTheme="minorEastAsia" w:hAnsiTheme="minorEastAsia"/>
          <w:noProof/>
          <w:sz w:val="24"/>
        </w:rPr>
      </w:pPr>
      <w:hyperlink w:anchor="_Toc124325898" w:history="1">
        <w:r w:rsidR="005916C4" w:rsidRPr="00960C25">
          <w:rPr>
            <w:rStyle w:val="af"/>
            <w:rFonts w:asciiTheme="minorEastAsia" w:eastAsiaTheme="minorEastAsia" w:hAnsiTheme="minorEastAsia" w:hint="eastAsia"/>
            <w:noProof/>
            <w:sz w:val="24"/>
          </w:rPr>
          <w:t>十四、基金管理人和基金托管人的更换</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_Toc124325898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33</w:t>
        </w:r>
        <w:r w:rsidR="005916C4" w:rsidRPr="00960C25">
          <w:rPr>
            <w:rFonts w:asciiTheme="minorEastAsia" w:eastAsiaTheme="minorEastAsia" w:hAnsiTheme="minorEastAsia" w:hint="eastAsia"/>
            <w:noProof/>
            <w:sz w:val="24"/>
          </w:rPr>
          <w:fldChar w:fldCharType="end"/>
        </w:r>
      </w:hyperlink>
    </w:p>
    <w:p w14:paraId="20CFD048" w14:textId="01559B2E" w:rsidR="00B07A76" w:rsidRPr="00960C25" w:rsidRDefault="00C50074" w:rsidP="00960C25">
      <w:pPr>
        <w:pStyle w:val="21"/>
        <w:spacing w:line="360" w:lineRule="auto"/>
        <w:rPr>
          <w:rFonts w:asciiTheme="minorEastAsia" w:eastAsiaTheme="minorEastAsia" w:hAnsiTheme="minorEastAsia"/>
          <w:noProof/>
          <w:sz w:val="24"/>
        </w:rPr>
      </w:pPr>
      <w:hyperlink w:anchor="_Toc124325899" w:history="1">
        <w:r w:rsidR="005916C4" w:rsidRPr="00960C25">
          <w:rPr>
            <w:rStyle w:val="af"/>
            <w:rFonts w:asciiTheme="minorEastAsia" w:eastAsiaTheme="minorEastAsia" w:hAnsiTheme="minorEastAsia" w:hint="eastAsia"/>
            <w:noProof/>
            <w:sz w:val="24"/>
          </w:rPr>
          <w:t>十五、禁止行为</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_Toc124325899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35</w:t>
        </w:r>
        <w:r w:rsidR="005916C4" w:rsidRPr="00960C25">
          <w:rPr>
            <w:rFonts w:asciiTheme="minorEastAsia" w:eastAsiaTheme="minorEastAsia" w:hAnsiTheme="minorEastAsia" w:hint="eastAsia"/>
            <w:noProof/>
            <w:sz w:val="24"/>
          </w:rPr>
          <w:fldChar w:fldCharType="end"/>
        </w:r>
      </w:hyperlink>
    </w:p>
    <w:p w14:paraId="5F76309F" w14:textId="4C2EDCEC" w:rsidR="00B07A76" w:rsidRPr="00960C25" w:rsidRDefault="00C50074" w:rsidP="00960C25">
      <w:pPr>
        <w:pStyle w:val="21"/>
        <w:spacing w:line="360" w:lineRule="auto"/>
        <w:rPr>
          <w:rFonts w:asciiTheme="minorEastAsia" w:eastAsiaTheme="minorEastAsia" w:hAnsiTheme="minorEastAsia"/>
          <w:noProof/>
          <w:sz w:val="24"/>
        </w:rPr>
      </w:pPr>
      <w:hyperlink w:anchor="_Toc124325900" w:history="1">
        <w:r w:rsidR="005916C4" w:rsidRPr="00960C25">
          <w:rPr>
            <w:rStyle w:val="af"/>
            <w:rFonts w:asciiTheme="minorEastAsia" w:eastAsiaTheme="minorEastAsia" w:hAnsiTheme="minorEastAsia" w:hint="eastAsia"/>
            <w:noProof/>
            <w:sz w:val="24"/>
          </w:rPr>
          <w:t>十六、托管协议的变更、终止与基金财产的清算</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_Toc124325900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36</w:t>
        </w:r>
        <w:r w:rsidR="005916C4" w:rsidRPr="00960C25">
          <w:rPr>
            <w:rFonts w:asciiTheme="minorEastAsia" w:eastAsiaTheme="minorEastAsia" w:hAnsiTheme="minorEastAsia" w:hint="eastAsia"/>
            <w:noProof/>
            <w:sz w:val="24"/>
          </w:rPr>
          <w:fldChar w:fldCharType="end"/>
        </w:r>
      </w:hyperlink>
    </w:p>
    <w:p w14:paraId="54343521" w14:textId="3CDE1FD4" w:rsidR="00B07A76" w:rsidRPr="00960C25" w:rsidRDefault="00C50074" w:rsidP="00960C25">
      <w:pPr>
        <w:pStyle w:val="21"/>
        <w:spacing w:line="360" w:lineRule="auto"/>
        <w:rPr>
          <w:rFonts w:asciiTheme="minorEastAsia" w:eastAsiaTheme="minorEastAsia" w:hAnsiTheme="minorEastAsia"/>
          <w:noProof/>
          <w:sz w:val="24"/>
        </w:rPr>
      </w:pPr>
      <w:hyperlink w:anchor="_Toc124325901" w:history="1">
        <w:r w:rsidR="005916C4" w:rsidRPr="00960C25">
          <w:rPr>
            <w:rStyle w:val="af"/>
            <w:rFonts w:asciiTheme="minorEastAsia" w:eastAsiaTheme="minorEastAsia" w:hAnsiTheme="minorEastAsia" w:hint="eastAsia"/>
            <w:noProof/>
            <w:sz w:val="24"/>
          </w:rPr>
          <w:t>十七、违约责任</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_Toc124325901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37</w:t>
        </w:r>
        <w:r w:rsidR="005916C4" w:rsidRPr="00960C25">
          <w:rPr>
            <w:rFonts w:asciiTheme="minorEastAsia" w:eastAsiaTheme="minorEastAsia" w:hAnsiTheme="minorEastAsia" w:hint="eastAsia"/>
            <w:noProof/>
            <w:sz w:val="24"/>
          </w:rPr>
          <w:fldChar w:fldCharType="end"/>
        </w:r>
      </w:hyperlink>
    </w:p>
    <w:p w14:paraId="71E70602" w14:textId="3077E201" w:rsidR="00B07A76" w:rsidRPr="00960C25" w:rsidRDefault="00C50074" w:rsidP="00960C25">
      <w:pPr>
        <w:pStyle w:val="21"/>
        <w:spacing w:line="360" w:lineRule="auto"/>
        <w:rPr>
          <w:rFonts w:asciiTheme="minorEastAsia" w:eastAsiaTheme="minorEastAsia" w:hAnsiTheme="minorEastAsia"/>
          <w:noProof/>
          <w:sz w:val="24"/>
        </w:rPr>
      </w:pPr>
      <w:hyperlink w:anchor="_Toc124325902" w:history="1">
        <w:r w:rsidR="005916C4" w:rsidRPr="00960C25">
          <w:rPr>
            <w:rStyle w:val="af"/>
            <w:rFonts w:asciiTheme="minorEastAsia" w:eastAsiaTheme="minorEastAsia" w:hAnsiTheme="minorEastAsia" w:hint="eastAsia"/>
            <w:noProof/>
            <w:sz w:val="24"/>
          </w:rPr>
          <w:t>十八、争议解决方式</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_Toc124325902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38</w:t>
        </w:r>
        <w:r w:rsidR="005916C4" w:rsidRPr="00960C25">
          <w:rPr>
            <w:rFonts w:asciiTheme="minorEastAsia" w:eastAsiaTheme="minorEastAsia" w:hAnsiTheme="minorEastAsia" w:hint="eastAsia"/>
            <w:noProof/>
            <w:sz w:val="24"/>
          </w:rPr>
          <w:fldChar w:fldCharType="end"/>
        </w:r>
      </w:hyperlink>
    </w:p>
    <w:p w14:paraId="46DE5E75" w14:textId="02261FFA" w:rsidR="00B07A76" w:rsidRPr="00960C25" w:rsidRDefault="00C50074" w:rsidP="00960C25">
      <w:pPr>
        <w:pStyle w:val="21"/>
        <w:spacing w:line="360" w:lineRule="auto"/>
        <w:rPr>
          <w:rFonts w:asciiTheme="minorEastAsia" w:eastAsiaTheme="minorEastAsia" w:hAnsiTheme="minorEastAsia"/>
          <w:noProof/>
          <w:sz w:val="24"/>
        </w:rPr>
      </w:pPr>
      <w:hyperlink w:anchor="_Toc124325903" w:history="1">
        <w:r w:rsidR="005916C4" w:rsidRPr="00960C25">
          <w:rPr>
            <w:rStyle w:val="af"/>
            <w:rFonts w:asciiTheme="minorEastAsia" w:eastAsiaTheme="minorEastAsia" w:hAnsiTheme="minorEastAsia" w:hint="eastAsia"/>
            <w:noProof/>
            <w:sz w:val="24"/>
          </w:rPr>
          <w:t>十九、托管协议的效力</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_Toc124325903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39</w:t>
        </w:r>
        <w:r w:rsidR="005916C4" w:rsidRPr="00960C25">
          <w:rPr>
            <w:rFonts w:asciiTheme="minorEastAsia" w:eastAsiaTheme="minorEastAsia" w:hAnsiTheme="minorEastAsia" w:hint="eastAsia"/>
            <w:noProof/>
            <w:sz w:val="24"/>
          </w:rPr>
          <w:fldChar w:fldCharType="end"/>
        </w:r>
      </w:hyperlink>
    </w:p>
    <w:p w14:paraId="5BDA7F5A" w14:textId="0BA5649C" w:rsidR="00B07A76" w:rsidRPr="00960C25" w:rsidRDefault="00C50074" w:rsidP="00960C25">
      <w:pPr>
        <w:pStyle w:val="21"/>
        <w:spacing w:line="360" w:lineRule="auto"/>
        <w:rPr>
          <w:rFonts w:asciiTheme="minorEastAsia" w:eastAsiaTheme="minorEastAsia" w:hAnsiTheme="minorEastAsia"/>
          <w:noProof/>
          <w:sz w:val="24"/>
        </w:rPr>
      </w:pPr>
      <w:hyperlink w:anchor="_Toc124325904" w:history="1">
        <w:r w:rsidR="005916C4" w:rsidRPr="00960C25">
          <w:rPr>
            <w:rStyle w:val="af"/>
            <w:rFonts w:asciiTheme="minorEastAsia" w:eastAsiaTheme="minorEastAsia" w:hAnsiTheme="minorEastAsia" w:hint="eastAsia"/>
            <w:noProof/>
            <w:sz w:val="24"/>
          </w:rPr>
          <w:t>二十、其他事项</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_Toc124325904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39</w:t>
        </w:r>
        <w:r w:rsidR="005916C4" w:rsidRPr="00960C25">
          <w:rPr>
            <w:rFonts w:asciiTheme="minorEastAsia" w:eastAsiaTheme="minorEastAsia" w:hAnsiTheme="minorEastAsia" w:hint="eastAsia"/>
            <w:noProof/>
            <w:sz w:val="24"/>
          </w:rPr>
          <w:fldChar w:fldCharType="end"/>
        </w:r>
      </w:hyperlink>
    </w:p>
    <w:p w14:paraId="50B90CFC" w14:textId="63115D49" w:rsidR="00B07A76" w:rsidRPr="00960C25" w:rsidRDefault="00C50074" w:rsidP="00960C25">
      <w:pPr>
        <w:pStyle w:val="21"/>
        <w:spacing w:line="360" w:lineRule="auto"/>
        <w:rPr>
          <w:rFonts w:asciiTheme="minorEastAsia" w:eastAsiaTheme="minorEastAsia" w:hAnsiTheme="minorEastAsia"/>
          <w:noProof/>
          <w:sz w:val="24"/>
        </w:rPr>
        <w:sectPr w:rsidR="00B07A76" w:rsidRPr="00960C25">
          <w:headerReference w:type="default" r:id="rId9"/>
          <w:pgSz w:w="11906" w:h="16838"/>
          <w:pgMar w:top="1418" w:right="1701" w:bottom="1418" w:left="1701" w:header="851" w:footer="992" w:gutter="0"/>
          <w:cols w:space="425"/>
          <w:docGrid w:type="lines" w:linePitch="312"/>
        </w:sectPr>
      </w:pPr>
      <w:hyperlink w:anchor="_Toc124325905" w:history="1">
        <w:r w:rsidR="005916C4" w:rsidRPr="00960C25">
          <w:rPr>
            <w:rStyle w:val="af"/>
            <w:rFonts w:asciiTheme="minorEastAsia" w:eastAsiaTheme="minorEastAsia" w:hAnsiTheme="minorEastAsia" w:hint="eastAsia"/>
            <w:noProof/>
            <w:sz w:val="24"/>
          </w:rPr>
          <w:t>二十一、托管协议的签订</w:t>
        </w:r>
        <w:r w:rsidR="005916C4" w:rsidRPr="00960C25">
          <w:rPr>
            <w:rFonts w:asciiTheme="minorEastAsia" w:eastAsiaTheme="minorEastAsia" w:hAnsiTheme="minorEastAsia" w:hint="eastAsia"/>
            <w:noProof/>
            <w:sz w:val="24"/>
          </w:rPr>
          <w:tab/>
        </w:r>
        <w:r w:rsidR="005916C4" w:rsidRPr="00960C25">
          <w:rPr>
            <w:rFonts w:asciiTheme="minorEastAsia" w:eastAsiaTheme="minorEastAsia" w:hAnsiTheme="minorEastAsia" w:hint="eastAsia"/>
            <w:noProof/>
            <w:sz w:val="24"/>
          </w:rPr>
          <w:fldChar w:fldCharType="begin"/>
        </w:r>
        <w:r w:rsidR="005916C4" w:rsidRPr="00960C25">
          <w:rPr>
            <w:rFonts w:asciiTheme="minorEastAsia" w:eastAsiaTheme="minorEastAsia" w:hAnsiTheme="minorEastAsia" w:hint="eastAsia"/>
            <w:noProof/>
            <w:sz w:val="24"/>
          </w:rPr>
          <w:instrText xml:space="preserve"> PAGEREF _Toc124325905 \h </w:instrText>
        </w:r>
        <w:r w:rsidR="005916C4" w:rsidRPr="00960C25">
          <w:rPr>
            <w:rFonts w:asciiTheme="minorEastAsia" w:eastAsiaTheme="minorEastAsia" w:hAnsiTheme="minorEastAsia" w:hint="eastAsia"/>
            <w:noProof/>
            <w:sz w:val="24"/>
          </w:rPr>
        </w:r>
        <w:r w:rsidR="005916C4" w:rsidRPr="00960C25">
          <w:rPr>
            <w:rFonts w:asciiTheme="minorEastAsia" w:eastAsiaTheme="minorEastAsia" w:hAnsiTheme="minorEastAsia" w:hint="eastAsia"/>
            <w:noProof/>
            <w:sz w:val="24"/>
          </w:rPr>
          <w:fldChar w:fldCharType="separate"/>
        </w:r>
        <w:r w:rsidR="00960C25">
          <w:rPr>
            <w:rFonts w:asciiTheme="minorEastAsia" w:eastAsiaTheme="minorEastAsia" w:hAnsiTheme="minorEastAsia"/>
            <w:noProof/>
            <w:sz w:val="24"/>
          </w:rPr>
          <w:t>39</w:t>
        </w:r>
        <w:r w:rsidR="005916C4" w:rsidRPr="00960C25">
          <w:rPr>
            <w:rFonts w:asciiTheme="minorEastAsia" w:eastAsiaTheme="minorEastAsia" w:hAnsiTheme="minorEastAsia" w:hint="eastAsia"/>
            <w:noProof/>
            <w:sz w:val="24"/>
          </w:rPr>
          <w:fldChar w:fldCharType="end"/>
        </w:r>
      </w:hyperlink>
    </w:p>
    <w:p w14:paraId="76AD71B3" w14:textId="10881A77" w:rsidR="00B07A76" w:rsidRPr="00960C25" w:rsidRDefault="005916C4" w:rsidP="00960C25">
      <w:pPr>
        <w:spacing w:line="360" w:lineRule="auto"/>
        <w:rPr>
          <w:rFonts w:asciiTheme="minorEastAsia" w:eastAsiaTheme="minorEastAsia" w:hAnsiTheme="minorEastAsia"/>
          <w:sz w:val="24"/>
        </w:rPr>
      </w:pPr>
      <w:r w:rsidRPr="00960C25">
        <w:rPr>
          <w:rFonts w:asciiTheme="minorEastAsia" w:eastAsiaTheme="minorEastAsia" w:hAnsiTheme="minorEastAsia" w:hint="eastAsia"/>
          <w:sz w:val="24"/>
        </w:rPr>
        <w:lastRenderedPageBreak/>
        <w:fldChar w:fldCharType="end"/>
      </w:r>
    </w:p>
    <w:p w14:paraId="76EFC64D" w14:textId="77777777" w:rsidR="00B07A76" w:rsidRPr="00960C25" w:rsidRDefault="005916C4" w:rsidP="00960C25">
      <w:pPr>
        <w:widowControl/>
        <w:adjustRightInd w:val="0"/>
        <w:snapToGrid w:val="0"/>
        <w:spacing w:line="360" w:lineRule="auto"/>
        <w:ind w:firstLineChars="200" w:firstLine="480"/>
        <w:rPr>
          <w:rFonts w:asciiTheme="minorEastAsia" w:eastAsiaTheme="minorEastAsia" w:hAnsiTheme="minorEastAsia" w:cs="Arial"/>
          <w:kern w:val="0"/>
          <w:sz w:val="24"/>
        </w:rPr>
      </w:pPr>
      <w:r w:rsidRPr="00960C25">
        <w:rPr>
          <w:rFonts w:asciiTheme="minorEastAsia" w:eastAsiaTheme="minorEastAsia" w:hAnsiTheme="minorEastAsia" w:cs="Arial" w:hint="eastAsia"/>
          <w:kern w:val="0"/>
          <w:sz w:val="24"/>
        </w:rPr>
        <w:t>鉴于汇添富基金管理股份有限公司系一家依照中国法律合法成立并有效存续的</w:t>
      </w:r>
      <w:r w:rsidRPr="00960C25">
        <w:rPr>
          <w:rFonts w:asciiTheme="minorEastAsia" w:eastAsiaTheme="minorEastAsia" w:hAnsiTheme="minorEastAsia" w:hint="eastAsia"/>
          <w:kern w:val="0"/>
          <w:sz w:val="24"/>
        </w:rPr>
        <w:t>股份有限公司</w:t>
      </w:r>
      <w:r w:rsidRPr="00960C25">
        <w:rPr>
          <w:rFonts w:asciiTheme="minorEastAsia" w:eastAsiaTheme="minorEastAsia" w:hAnsiTheme="minorEastAsia" w:cs="Arial" w:hint="eastAsia"/>
          <w:kern w:val="0"/>
          <w:sz w:val="24"/>
        </w:rPr>
        <w:t>，按照相关法律法规的规定具备担任基金管理人的资格和能力，拟募集发行汇添富稳进双盈一年持有期混合型证券投资基金；</w:t>
      </w:r>
    </w:p>
    <w:p w14:paraId="679775ED" w14:textId="77777777" w:rsidR="00B07A76" w:rsidRPr="00960C25" w:rsidRDefault="005916C4" w:rsidP="00960C25">
      <w:pPr>
        <w:widowControl/>
        <w:adjustRightInd w:val="0"/>
        <w:snapToGrid w:val="0"/>
        <w:spacing w:line="360" w:lineRule="auto"/>
        <w:ind w:firstLineChars="200" w:firstLine="480"/>
        <w:rPr>
          <w:rFonts w:asciiTheme="minorEastAsia" w:eastAsiaTheme="minorEastAsia" w:hAnsiTheme="minorEastAsia" w:cs="Arial"/>
          <w:kern w:val="0"/>
          <w:sz w:val="24"/>
        </w:rPr>
      </w:pPr>
      <w:r w:rsidRPr="00960C25">
        <w:rPr>
          <w:rFonts w:asciiTheme="minorEastAsia" w:eastAsia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14:paraId="3893EBFA" w14:textId="77777777" w:rsidR="00B07A76" w:rsidRPr="00960C25" w:rsidRDefault="005916C4" w:rsidP="00960C25">
      <w:pPr>
        <w:widowControl/>
        <w:adjustRightInd w:val="0"/>
        <w:snapToGrid w:val="0"/>
        <w:spacing w:line="360" w:lineRule="auto"/>
        <w:ind w:firstLineChars="200" w:firstLine="480"/>
        <w:rPr>
          <w:rFonts w:asciiTheme="minorEastAsia" w:eastAsiaTheme="minorEastAsia" w:hAnsiTheme="minorEastAsia" w:cs="Arial"/>
          <w:kern w:val="0"/>
          <w:sz w:val="24"/>
        </w:rPr>
      </w:pPr>
      <w:r w:rsidRPr="00960C25">
        <w:rPr>
          <w:rFonts w:asciiTheme="minorEastAsia" w:eastAsiaTheme="minorEastAsia" w:hAnsiTheme="minorEastAsia" w:cs="Arial" w:hint="eastAsia"/>
          <w:kern w:val="0"/>
          <w:sz w:val="24"/>
        </w:rPr>
        <w:t>鉴于汇添富基金管理股份有限公司拟担任汇添富稳进双盈一年持有期混合型证券投资基金的基金管理人，中国建设银行股份有限公司拟担任汇添富稳进双盈一年持有期混合型证券投资基金的基金托管人；</w:t>
      </w:r>
    </w:p>
    <w:p w14:paraId="1DD0985C" w14:textId="77777777" w:rsidR="00B07A76" w:rsidRPr="00960C25" w:rsidRDefault="005916C4" w:rsidP="00960C25">
      <w:pPr>
        <w:widowControl/>
        <w:adjustRightInd w:val="0"/>
        <w:snapToGrid w:val="0"/>
        <w:spacing w:line="360" w:lineRule="auto"/>
        <w:ind w:firstLineChars="200" w:firstLine="480"/>
        <w:rPr>
          <w:rFonts w:asciiTheme="minorEastAsia" w:eastAsiaTheme="minorEastAsia" w:hAnsiTheme="minorEastAsia" w:cs="Arial"/>
          <w:kern w:val="0"/>
          <w:sz w:val="24"/>
        </w:rPr>
      </w:pPr>
      <w:r w:rsidRPr="00960C25">
        <w:rPr>
          <w:rFonts w:asciiTheme="minorEastAsia" w:eastAsiaTheme="minorEastAsia" w:hAnsiTheme="minorEastAsia" w:cs="Arial" w:hint="eastAsia"/>
          <w:kern w:val="0"/>
          <w:sz w:val="24"/>
        </w:rPr>
        <w:t>为明确汇添富稳进双盈一年持有期混合型证券投资基金的基金管理人和基金托管人之间的权利义务关系，特制订本托管协议；</w:t>
      </w:r>
    </w:p>
    <w:p w14:paraId="6671C049" w14:textId="77777777" w:rsidR="00B07A76" w:rsidRPr="00960C25" w:rsidRDefault="005916C4" w:rsidP="00960C25">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960C25">
        <w:rPr>
          <w:rFonts w:asciiTheme="minorEastAsia" w:eastAsiaTheme="minorEastAsia" w:hAnsiTheme="minorEastAsia" w:cs="Arial" w:hint="eastAsia"/>
          <w:kern w:val="0"/>
          <w:sz w:val="24"/>
          <w:lang w:val="en-GB"/>
        </w:rPr>
        <w:t>除非另有约定，《</w:t>
      </w:r>
      <w:r w:rsidRPr="00960C25">
        <w:rPr>
          <w:rFonts w:asciiTheme="minorEastAsia" w:eastAsiaTheme="minorEastAsia" w:hAnsiTheme="minorEastAsia" w:hint="eastAsia"/>
          <w:sz w:val="24"/>
        </w:rPr>
        <w:t>汇添富稳进双盈一年持有期混合型证券投资基金</w:t>
      </w:r>
      <w:r w:rsidRPr="00960C25">
        <w:rPr>
          <w:rFonts w:asciiTheme="minorEastAsia" w:eastAsiaTheme="minorEastAsia" w:hAnsiTheme="minorEastAsia" w:cs="Arial" w:hint="eastAsia"/>
          <w:kern w:val="0"/>
          <w:sz w:val="24"/>
          <w:lang w:val="en-GB"/>
        </w:rPr>
        <w:t>基金合同》(以下简称“基金合同”)中定义的术语在用于本托管协议时应具有相同的含义；若有抵触应以《基金合同》为准，并依其</w:t>
      </w:r>
      <w:r w:rsidRPr="00960C25">
        <w:rPr>
          <w:rFonts w:asciiTheme="minorEastAsia" w:eastAsiaTheme="minorEastAsia" w:hAnsiTheme="minorEastAsia" w:cs="Arial" w:hint="eastAsia"/>
          <w:kern w:val="0"/>
          <w:sz w:val="24"/>
        </w:rPr>
        <w:t>条款</w:t>
      </w:r>
      <w:r w:rsidRPr="00960C25">
        <w:rPr>
          <w:rFonts w:asciiTheme="minorEastAsia" w:eastAsiaTheme="minorEastAsia" w:hAnsiTheme="minorEastAsia" w:cs="Arial" w:hint="eastAsia"/>
          <w:kern w:val="0"/>
          <w:sz w:val="24"/>
          <w:lang w:val="en-GB"/>
        </w:rPr>
        <w:t>解释。</w:t>
      </w:r>
    </w:p>
    <w:p w14:paraId="34EA9992" w14:textId="77777777" w:rsidR="00B07A76" w:rsidRPr="00960C25" w:rsidRDefault="00B07A76" w:rsidP="00960C25">
      <w:pPr>
        <w:spacing w:line="360" w:lineRule="auto"/>
        <w:rPr>
          <w:rFonts w:asciiTheme="minorEastAsia" w:eastAsiaTheme="minorEastAsia" w:hAnsiTheme="minorEastAsia"/>
          <w:sz w:val="24"/>
          <w:lang w:val="en-GB"/>
        </w:rPr>
      </w:pPr>
    </w:p>
    <w:p w14:paraId="271242D8"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1" w:name="_Toc124325885"/>
      <w:r w:rsidRPr="00960C25">
        <w:rPr>
          <w:rFonts w:asciiTheme="minorEastAsia" w:eastAsiaTheme="minorEastAsia" w:hAnsiTheme="minorEastAsia" w:hint="eastAsia"/>
          <w:sz w:val="24"/>
          <w:szCs w:val="24"/>
        </w:rPr>
        <w:t>一、基金托管协议当事人</w:t>
      </w:r>
      <w:bookmarkEnd w:id="1"/>
    </w:p>
    <w:p w14:paraId="029B12EB"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（一）基金管理人</w:t>
      </w:r>
    </w:p>
    <w:p w14:paraId="1231689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名称：</w:t>
      </w:r>
      <w:r w:rsidRPr="00960C25">
        <w:rPr>
          <w:rFonts w:asciiTheme="minorEastAsia" w:eastAsiaTheme="minorEastAsia" w:hAnsiTheme="minorEastAsia" w:hint="eastAsia"/>
          <w:kern w:val="0"/>
          <w:sz w:val="24"/>
        </w:rPr>
        <w:t>汇添富</w:t>
      </w:r>
      <w:r w:rsidRPr="00960C25">
        <w:rPr>
          <w:rFonts w:asciiTheme="minorEastAsia" w:eastAsiaTheme="minorEastAsia" w:hAnsiTheme="minorEastAsia" w:cs="Arial" w:hint="eastAsia"/>
          <w:sz w:val="24"/>
        </w:rPr>
        <w:t>基金管理股份有限公司</w:t>
      </w:r>
    </w:p>
    <w:p w14:paraId="0C850FB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注册地址：</w:t>
      </w:r>
      <w:r w:rsidRPr="00960C25">
        <w:rPr>
          <w:rFonts w:asciiTheme="minorEastAsia" w:eastAsiaTheme="minorEastAsia" w:hAnsiTheme="minorEastAsia" w:hint="eastAsia"/>
          <w:kern w:val="0"/>
          <w:sz w:val="24"/>
        </w:rPr>
        <w:t>上海市黄浦区北京东路</w:t>
      </w:r>
      <w:r w:rsidRPr="00960C25">
        <w:rPr>
          <w:rFonts w:asciiTheme="minorEastAsia" w:eastAsiaTheme="minorEastAsia" w:hAnsiTheme="minorEastAsia"/>
          <w:kern w:val="0"/>
          <w:sz w:val="24"/>
        </w:rPr>
        <w:t>666号H区（东座）6楼H686室</w:t>
      </w:r>
    </w:p>
    <w:p w14:paraId="67B8C12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办公地址：</w:t>
      </w:r>
      <w:r w:rsidRPr="00960C25">
        <w:rPr>
          <w:rFonts w:asciiTheme="minorEastAsia" w:eastAsiaTheme="minorEastAsia" w:hAnsiTheme="minorEastAsia" w:hint="eastAsia"/>
          <w:kern w:val="0"/>
          <w:sz w:val="24"/>
        </w:rPr>
        <w:t>上海市富城路</w:t>
      </w:r>
      <w:r w:rsidRPr="00960C25">
        <w:rPr>
          <w:rFonts w:asciiTheme="minorEastAsia" w:eastAsiaTheme="minorEastAsia" w:hAnsiTheme="minorEastAsia"/>
          <w:kern w:val="0"/>
          <w:sz w:val="24"/>
        </w:rPr>
        <w:t>99号震旦国际大楼20</w:t>
      </w:r>
      <w:r w:rsidRPr="00960C25">
        <w:rPr>
          <w:rFonts w:asciiTheme="minorEastAsia" w:eastAsiaTheme="minorEastAsia" w:hAnsiTheme="minorEastAsia" w:hint="eastAsia"/>
          <w:kern w:val="0"/>
          <w:sz w:val="24"/>
        </w:rPr>
        <w:t>楼</w:t>
      </w:r>
    </w:p>
    <w:p w14:paraId="35D822E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邮政编码：</w:t>
      </w:r>
      <w:r w:rsidRPr="00960C25">
        <w:rPr>
          <w:rFonts w:asciiTheme="minorEastAsia" w:eastAsiaTheme="minorEastAsia" w:hAnsiTheme="minorEastAsia"/>
          <w:kern w:val="0"/>
          <w:sz w:val="24"/>
        </w:rPr>
        <w:t>200120</w:t>
      </w:r>
    </w:p>
    <w:p w14:paraId="3FBF06C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法定代表人：</w:t>
      </w:r>
      <w:r w:rsidRPr="00960C25">
        <w:rPr>
          <w:rFonts w:asciiTheme="minorEastAsia" w:eastAsiaTheme="minorEastAsia" w:hAnsiTheme="minorEastAsia" w:hint="eastAsia"/>
          <w:kern w:val="0"/>
          <w:sz w:val="24"/>
        </w:rPr>
        <w:t>李文</w:t>
      </w:r>
    </w:p>
    <w:p w14:paraId="1E73CF7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成立日期：</w:t>
      </w:r>
      <w:r w:rsidRPr="00960C25">
        <w:rPr>
          <w:rStyle w:val="read"/>
          <w:rFonts w:asciiTheme="minorEastAsia" w:eastAsiaTheme="minorEastAsia" w:hAnsiTheme="minorEastAsia" w:cs="Arial" w:hint="eastAsia"/>
          <w:sz w:val="24"/>
        </w:rPr>
        <w:t>2005年2月3日</w:t>
      </w:r>
    </w:p>
    <w:p w14:paraId="5BEBEE63" w14:textId="54929F76"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批准设立机关及批准设立文号：中国证监会证监基金字</w:t>
      </w:r>
      <w:r w:rsidRPr="00960C25">
        <w:rPr>
          <w:rStyle w:val="read"/>
          <w:rFonts w:asciiTheme="minorEastAsia" w:eastAsiaTheme="minorEastAsia" w:hAnsiTheme="minorEastAsia" w:cs="Arial" w:hint="eastAsia"/>
          <w:sz w:val="24"/>
        </w:rPr>
        <w:t>[</w:t>
      </w:r>
      <w:r w:rsidRPr="00960C25">
        <w:rPr>
          <w:rStyle w:val="read"/>
          <w:rFonts w:asciiTheme="minorEastAsia" w:eastAsiaTheme="minorEastAsia" w:hAnsiTheme="minorEastAsia" w:cs="Arial"/>
          <w:sz w:val="24"/>
        </w:rPr>
        <w:t>2005</w:t>
      </w:r>
      <w:r w:rsidRPr="00960C25">
        <w:rPr>
          <w:rStyle w:val="read"/>
          <w:rFonts w:asciiTheme="minorEastAsia" w:eastAsiaTheme="minorEastAsia" w:hAnsiTheme="minorEastAsia" w:cs="Arial" w:hint="eastAsia"/>
          <w:sz w:val="24"/>
        </w:rPr>
        <w:t>]</w:t>
      </w:r>
      <w:r w:rsidRPr="00960C25">
        <w:rPr>
          <w:rStyle w:val="read"/>
          <w:rFonts w:asciiTheme="minorEastAsia" w:eastAsiaTheme="minorEastAsia" w:hAnsiTheme="minorEastAsia" w:cs="Arial"/>
          <w:sz w:val="24"/>
        </w:rPr>
        <w:t>5</w:t>
      </w:r>
      <w:r w:rsidRPr="00960C25">
        <w:rPr>
          <w:rFonts w:asciiTheme="minorEastAsia" w:eastAsiaTheme="minorEastAsia" w:hAnsiTheme="minorEastAsia" w:cs="Arial" w:hint="eastAsia"/>
          <w:sz w:val="24"/>
        </w:rPr>
        <w:t>号</w:t>
      </w:r>
    </w:p>
    <w:p w14:paraId="05252F1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组织形式：股份有限公司</w:t>
      </w:r>
    </w:p>
    <w:p w14:paraId="7E8C917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注册资本：人民币132,724,224</w:t>
      </w:r>
      <w:r w:rsidRPr="00960C25">
        <w:rPr>
          <w:rFonts w:asciiTheme="minorEastAsia" w:eastAsiaTheme="minorEastAsia" w:hAnsiTheme="minorEastAsia" w:hint="eastAsia"/>
          <w:sz w:val="24"/>
        </w:rPr>
        <w:t>元</w:t>
      </w:r>
    </w:p>
    <w:p w14:paraId="71B59C0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存续期间：持续经营</w:t>
      </w:r>
    </w:p>
    <w:p w14:paraId="5F30C1D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经营范围：基金募集、基金销售、特定客户资产管理、资产管理和中国证监会许可的其他业务</w:t>
      </w:r>
    </w:p>
    <w:p w14:paraId="6C893F94"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lastRenderedPageBreak/>
        <w:t>（二）基金托管人</w:t>
      </w:r>
    </w:p>
    <w:p w14:paraId="6858EEE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名称：中国建设银行股份有限公司(简称：中国建设银行)</w:t>
      </w:r>
    </w:p>
    <w:p w14:paraId="36D0E69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住所：北京市西城区金融大街25号</w:t>
      </w:r>
    </w:p>
    <w:p w14:paraId="072BC35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办公地址：北京市西城区闹市口大街1号院1号楼</w:t>
      </w:r>
    </w:p>
    <w:p w14:paraId="34F1C43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邮政编码：100033</w:t>
      </w:r>
    </w:p>
    <w:p w14:paraId="3A00284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法定代表人：田国立</w:t>
      </w:r>
    </w:p>
    <w:p w14:paraId="3315E02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成立日期：2004年09月17日</w:t>
      </w:r>
    </w:p>
    <w:p w14:paraId="6945AA2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基金托管业务批准文号：中国证监会证监基字[1998</w:t>
      </w:r>
      <w:bookmarkStart w:id="2" w:name="OLE_LINK3"/>
      <w:r w:rsidRPr="00960C25">
        <w:rPr>
          <w:rFonts w:asciiTheme="minorEastAsia" w:eastAsiaTheme="minorEastAsia" w:hAnsiTheme="minorEastAsia" w:cs="Arial" w:hint="eastAsia"/>
          <w:sz w:val="24"/>
        </w:rPr>
        <w:t>]</w:t>
      </w:r>
      <w:bookmarkEnd w:id="2"/>
      <w:r w:rsidRPr="00960C25">
        <w:rPr>
          <w:rFonts w:asciiTheme="minorEastAsia" w:eastAsiaTheme="minorEastAsia" w:hAnsiTheme="minorEastAsia" w:cs="Arial" w:hint="eastAsia"/>
          <w:sz w:val="24"/>
        </w:rPr>
        <w:t>12号</w:t>
      </w:r>
    </w:p>
    <w:p w14:paraId="309EC1B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组织形式：股份有限公司</w:t>
      </w:r>
    </w:p>
    <w:p w14:paraId="557B426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注册资本：</w:t>
      </w:r>
      <w:r w:rsidRPr="00960C25">
        <w:rPr>
          <w:rFonts w:asciiTheme="minorEastAsia" w:eastAsiaTheme="minorEastAsia" w:hAnsiTheme="minorEastAsia" w:hint="eastAsia"/>
          <w:sz w:val="24"/>
        </w:rPr>
        <w:t>贰仟伍佰亿壹仟零玖拾柒万柒仟肆佰捌拾陆元整</w:t>
      </w:r>
    </w:p>
    <w:p w14:paraId="74AE717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存续期间：持续经营</w:t>
      </w:r>
    </w:p>
    <w:p w14:paraId="634376C2" w14:textId="77777777" w:rsidR="00B07A76" w:rsidRPr="00960C25" w:rsidRDefault="005916C4" w:rsidP="00960C25">
      <w:pPr>
        <w:tabs>
          <w:tab w:val="left" w:pos="540"/>
        </w:tabs>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E2FE7FD" w14:textId="77777777" w:rsidR="00B07A76" w:rsidRPr="00960C25" w:rsidRDefault="00B07A76" w:rsidP="00960C25">
      <w:pPr>
        <w:spacing w:line="360" w:lineRule="auto"/>
        <w:rPr>
          <w:rFonts w:asciiTheme="minorEastAsia" w:eastAsiaTheme="minorEastAsia" w:hAnsiTheme="minorEastAsia"/>
          <w:sz w:val="24"/>
        </w:rPr>
      </w:pPr>
    </w:p>
    <w:p w14:paraId="7EE3A3E2"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3" w:name="_Toc124325886"/>
      <w:r w:rsidRPr="00960C25">
        <w:rPr>
          <w:rFonts w:asciiTheme="minorEastAsia" w:eastAsiaTheme="minorEastAsia" w:hAnsiTheme="minorEastAsia" w:hint="eastAsia"/>
          <w:sz w:val="24"/>
          <w:szCs w:val="24"/>
        </w:rPr>
        <w:t>二、基金托管协议的依据、目的和原则</w:t>
      </w:r>
      <w:bookmarkEnd w:id="3"/>
    </w:p>
    <w:p w14:paraId="7E13002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cs="Arial" w:hint="eastAsia"/>
          <w:sz w:val="24"/>
        </w:rPr>
        <w:t>（一）订立托管协议的依据</w:t>
      </w:r>
    </w:p>
    <w:p w14:paraId="39FA878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本协议依据《中华人民共和国证券投资基金法》(以下简称“《基金法》”)等有关法律法规、《基金合同》及其他有关规定制订。</w:t>
      </w:r>
    </w:p>
    <w:p w14:paraId="5B2F17E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（二）订立托管协议的目的</w:t>
      </w:r>
    </w:p>
    <w:p w14:paraId="38B486B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0A0916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（三）订立托管协议的原则</w:t>
      </w:r>
    </w:p>
    <w:p w14:paraId="2AF76A2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基金管理人和基金托管人本着平等自愿、诚实信用、充分保护基金份额持有人合法权益的原则，经协商一致，签订本协议。</w:t>
      </w:r>
    </w:p>
    <w:p w14:paraId="70B0EB94" w14:textId="77777777" w:rsidR="00B07A76" w:rsidRPr="00960C25" w:rsidRDefault="00B07A76" w:rsidP="00960C25">
      <w:pPr>
        <w:spacing w:line="360" w:lineRule="auto"/>
        <w:rPr>
          <w:rFonts w:asciiTheme="minorEastAsia" w:eastAsiaTheme="minorEastAsia" w:hAnsiTheme="minorEastAsia"/>
          <w:sz w:val="24"/>
        </w:rPr>
      </w:pPr>
    </w:p>
    <w:p w14:paraId="4E4A910D"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4" w:name="_Toc124325887"/>
      <w:r w:rsidRPr="00960C25">
        <w:rPr>
          <w:rFonts w:asciiTheme="minorEastAsia" w:eastAsiaTheme="minorEastAsia" w:hAnsiTheme="minorEastAsia" w:hint="eastAsia"/>
          <w:sz w:val="24"/>
          <w:szCs w:val="24"/>
        </w:rPr>
        <w:lastRenderedPageBreak/>
        <w:t>三、基金托管人对基金管理人的业务监督和核查</w:t>
      </w:r>
      <w:bookmarkEnd w:id="4"/>
    </w:p>
    <w:p w14:paraId="1DAB80C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57774E91" w14:textId="64185BBB"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本基金的投资范围为具有良好流动性的金融工具，包括国内依法发行上市的股票（含中小板、创业板及其他经中国证监会允许上市的股票）、</w:t>
      </w:r>
      <w:r w:rsidR="00B97791" w:rsidRPr="00960C25">
        <w:rPr>
          <w:rFonts w:asciiTheme="minorEastAsia" w:eastAsiaTheme="minorEastAsia" w:hAnsiTheme="minorEastAsia" w:cs="Arial" w:hint="eastAsia"/>
          <w:sz w:val="24"/>
        </w:rPr>
        <w:t>存托凭证、</w:t>
      </w:r>
      <w:r w:rsidRPr="00960C25">
        <w:rPr>
          <w:rFonts w:asciiTheme="minorEastAsia" w:eastAsiaTheme="minorEastAsia" w:hAnsiTheme="minorEastAsia" w:cs="Arial" w:hint="eastAsia"/>
          <w:sz w:val="24"/>
        </w:rPr>
        <w:t>港股通标的股票、债券（包括国债、央行票据、金融债券、企业债券、公司债券、中期票据、短期融资券、超短期融资券、次级债券、政府支持债券、政府支持机构债券、地方政府债券、可交换债券、可转换债券（含分离交易可转债）及其他经中国证监会允许投资的债券）、资产支持证券、债券回购、同业存单、银行存款（包含协议存款、定期存款及其他银行存款）、货币市场工具、股指期货、股票期权、国债期货以及法律法规或中国证监会允许基金投资的其他金融工具(但须符合中国证监会相关规定)。本基金还可根据法律法规参与融资。</w:t>
      </w:r>
    </w:p>
    <w:p w14:paraId="170E047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如法律法规或监管机构以后允许基金投资其他品种，基金管理人在履行适当程序后，可以将其纳入投资范围。</w:t>
      </w:r>
    </w:p>
    <w:p w14:paraId="0FCD2EE2" w14:textId="50D97B70"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基金的投资组合比例为：股票资产</w:t>
      </w:r>
      <w:r w:rsidR="00B97791" w:rsidRPr="00960C25">
        <w:rPr>
          <w:rFonts w:asciiTheme="minorEastAsia" w:eastAsiaTheme="minorEastAsia" w:hAnsiTheme="minorEastAsia" w:cs="Arial" w:hint="eastAsia"/>
          <w:sz w:val="24"/>
        </w:rPr>
        <w:t>及存托凭证投资</w:t>
      </w:r>
      <w:r w:rsidRPr="00960C25">
        <w:rPr>
          <w:rFonts w:asciiTheme="minorEastAsia" w:eastAsiaTheme="minorEastAsia" w:hAnsiTheme="minorEastAsia" w:cs="Arial" w:hint="eastAsia"/>
          <w:sz w:val="24"/>
        </w:rPr>
        <w:t>占基金资产的比例为0-40%（其中投资于港股通标的股票的比例不超过股票资产的50%），本基金投资于同业存单的比例不超过基金资产的20%。每个交易日日终在扣除股指期货、国债期货和股票期权合约需缴纳的交易保证金后，基金保留的现金或到期日在一年以内的政府债券的投资比例合计不低于基金资产净值的5%，本基金所指的现金不包括结算备付金、存出保证金、应收申购款等。</w:t>
      </w:r>
    </w:p>
    <w:p w14:paraId="4D8C40A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如法律法规或监管机构变更投资品种的投资比例限制，基金管理人在履行适当程序后，可以调整上述投资品种的投资比例。</w:t>
      </w:r>
    </w:p>
    <w:p w14:paraId="189A565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（二）基金托管人根据有关法律法规的规定及《基金合同》的约定，对基金投资、融资比例进行监督。基金托管人按下述比例和调整期限进行监督：</w:t>
      </w:r>
    </w:p>
    <w:p w14:paraId="73EEF622" w14:textId="380BD42E"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w:t>
      </w:r>
      <w:r w:rsidRPr="00960C25">
        <w:rPr>
          <w:rFonts w:asciiTheme="minorEastAsia" w:eastAsiaTheme="minorEastAsia" w:hAnsiTheme="minorEastAsia"/>
          <w:sz w:val="24"/>
        </w:rPr>
        <w:t>.</w:t>
      </w:r>
      <w:r w:rsidRPr="00960C25">
        <w:rPr>
          <w:rFonts w:asciiTheme="minorEastAsia" w:eastAsiaTheme="minorEastAsia" w:hAnsiTheme="minorEastAsia" w:hint="eastAsia"/>
          <w:sz w:val="24"/>
        </w:rPr>
        <w:t>股票资产</w:t>
      </w:r>
      <w:r w:rsidR="00B97791" w:rsidRPr="00960C25">
        <w:rPr>
          <w:rFonts w:asciiTheme="minorEastAsia" w:eastAsiaTheme="minorEastAsia" w:hAnsiTheme="minorEastAsia" w:hint="eastAsia"/>
          <w:sz w:val="24"/>
        </w:rPr>
        <w:t>及存托凭证投资</w:t>
      </w:r>
      <w:r w:rsidRPr="00960C25">
        <w:rPr>
          <w:rFonts w:asciiTheme="minorEastAsia" w:eastAsiaTheme="minorEastAsia" w:hAnsiTheme="minorEastAsia" w:hint="eastAsia"/>
          <w:sz w:val="24"/>
        </w:rPr>
        <w:t>占基金资产的比例为0-40%（其中投资于港股通标的股票的比例不超过股票资产的50%）；</w:t>
      </w:r>
    </w:p>
    <w:p w14:paraId="31656ED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lastRenderedPageBreak/>
        <w:t>2</w:t>
      </w:r>
      <w:r w:rsidRPr="00960C25">
        <w:rPr>
          <w:rFonts w:asciiTheme="minorEastAsia" w:eastAsiaTheme="minorEastAsia" w:hAnsiTheme="minorEastAsia"/>
          <w:sz w:val="24"/>
        </w:rPr>
        <w:t>.</w:t>
      </w:r>
      <w:r w:rsidRPr="00960C25">
        <w:rPr>
          <w:rFonts w:asciiTheme="minorEastAsia" w:eastAsiaTheme="minorEastAsia" w:hAnsiTheme="minorEastAsia" w:hint="eastAsia"/>
          <w:sz w:val="24"/>
        </w:rPr>
        <w:t>本基金每个交易日日终在扣除股指期货、国债期货和股票期权合约需缴纳的交易保证金后，应当保持不低于基金资产净值5％的现金或者到期日在一年以内的政府债券，其中现金不包括结算备付金、存出保证金和应收申购款等；</w:t>
      </w:r>
    </w:p>
    <w:p w14:paraId="1B59E49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3</w:t>
      </w:r>
      <w:r w:rsidRPr="00960C25">
        <w:rPr>
          <w:rFonts w:asciiTheme="minorEastAsia" w:eastAsiaTheme="minorEastAsia" w:hAnsiTheme="minorEastAsia"/>
          <w:sz w:val="24"/>
        </w:rPr>
        <w:t>.</w:t>
      </w:r>
      <w:r w:rsidRPr="00960C25">
        <w:rPr>
          <w:rFonts w:asciiTheme="minorEastAsia" w:eastAsiaTheme="minorEastAsia" w:hAnsiTheme="minorEastAsia" w:hint="eastAsia"/>
          <w:sz w:val="24"/>
        </w:rPr>
        <w:t>本基金持有一家公司发行的证券，其市值不超过基金资产净值的10％；</w:t>
      </w:r>
    </w:p>
    <w:p w14:paraId="62A2DDA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4</w:t>
      </w:r>
      <w:r w:rsidRPr="00960C25">
        <w:rPr>
          <w:rFonts w:asciiTheme="minorEastAsia" w:eastAsiaTheme="minorEastAsia" w:hAnsiTheme="minorEastAsia"/>
          <w:sz w:val="24"/>
        </w:rPr>
        <w:t>.</w:t>
      </w:r>
      <w:r w:rsidRPr="00960C25">
        <w:rPr>
          <w:rFonts w:asciiTheme="minorEastAsia" w:eastAsiaTheme="minorEastAsia" w:hAnsiTheme="minorEastAsia" w:hint="eastAsia"/>
          <w:sz w:val="24"/>
        </w:rPr>
        <w:t>本基金管理人管理且由本基金托管人托管的全部基金持有一家公司发行的证券，不超过该证券的10％，完全按照有关指数的构成比例进行证券投资的基金品种可以不受此条款规定的比例限制；</w:t>
      </w:r>
    </w:p>
    <w:p w14:paraId="1D1D377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5</w:t>
      </w:r>
      <w:r w:rsidRPr="00960C25">
        <w:rPr>
          <w:rFonts w:asciiTheme="minorEastAsia" w:eastAsiaTheme="minorEastAsia" w:hAnsiTheme="minorEastAsia"/>
          <w:sz w:val="24"/>
        </w:rPr>
        <w:t>.</w:t>
      </w:r>
      <w:r w:rsidRPr="00960C25">
        <w:rPr>
          <w:rFonts w:asciiTheme="minorEastAsia" w:eastAsiaTheme="minorEastAsia" w:hAnsiTheme="minorEastAsia" w:hint="eastAsia"/>
          <w:sz w:val="24"/>
        </w:rPr>
        <w:t>本基金投资于同一原始权益人的各类资产支持证券的比例，不得超过基金资产净值的10％；</w:t>
      </w:r>
    </w:p>
    <w:p w14:paraId="04E693A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6.本基金持有的全部资产支持证券，其市值不得超过基金资产净值的20％；</w:t>
      </w:r>
    </w:p>
    <w:p w14:paraId="1CBA131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7</w:t>
      </w:r>
      <w:r w:rsidRPr="00960C25">
        <w:rPr>
          <w:rFonts w:asciiTheme="minorEastAsia" w:eastAsiaTheme="minorEastAsia" w:hAnsiTheme="minorEastAsia"/>
          <w:sz w:val="24"/>
        </w:rPr>
        <w:t>.</w:t>
      </w:r>
      <w:r w:rsidRPr="00960C25">
        <w:rPr>
          <w:rFonts w:asciiTheme="minorEastAsia" w:eastAsiaTheme="minorEastAsia" w:hAnsiTheme="minorEastAsia" w:hint="eastAsia"/>
          <w:sz w:val="24"/>
        </w:rPr>
        <w:t>本基金持有的同一(指同一信用级别)资产支持证券的比例，不得超过该资产支持证券规模的10％；</w:t>
      </w:r>
    </w:p>
    <w:p w14:paraId="297BAC3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sz w:val="24"/>
        </w:rPr>
        <w:t>8.</w:t>
      </w:r>
      <w:r w:rsidRPr="00960C25">
        <w:rPr>
          <w:rFonts w:asciiTheme="minorEastAsia" w:eastAsiaTheme="minorEastAsia" w:hAnsiTheme="minorEastAsia" w:hint="eastAsia"/>
          <w:sz w:val="24"/>
        </w:rPr>
        <w:t>本基金管理人管理且由本基金托管人托管的全部基金投资于同一原始权益人的各类资产支持证券，不得超过其各类资产支持证券合计规模的10％；</w:t>
      </w:r>
    </w:p>
    <w:p w14:paraId="088A25F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9</w:t>
      </w:r>
      <w:r w:rsidRPr="00960C25">
        <w:rPr>
          <w:rFonts w:asciiTheme="minorEastAsia" w:eastAsiaTheme="minorEastAsia" w:hAnsiTheme="minorEastAsia"/>
          <w:sz w:val="24"/>
        </w:rPr>
        <w:t>.</w:t>
      </w:r>
      <w:r w:rsidRPr="00960C25">
        <w:rPr>
          <w:rFonts w:asciiTheme="minorEastAsia" w:eastAsiaTheme="minorEastAsia" w:hAnsiTheme="minorEastAsia"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36DFAE8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w:t>
      </w:r>
      <w:r w:rsidRPr="00960C25">
        <w:rPr>
          <w:rFonts w:asciiTheme="minorEastAsia" w:eastAsiaTheme="minorEastAsia" w:hAnsiTheme="minorEastAsia"/>
          <w:sz w:val="24"/>
        </w:rPr>
        <w:t>0.</w:t>
      </w:r>
      <w:r w:rsidRPr="00960C25">
        <w:rPr>
          <w:rFonts w:asciiTheme="minorEastAsia" w:eastAsiaTheme="minorEastAsia" w:hAnsiTheme="minorEastAsia" w:hint="eastAsia"/>
          <w:sz w:val="24"/>
        </w:rPr>
        <w:t>基金财产参与股票发行申购，本基金所申报的金额不超过本基金的总资产，本基金所申报的股票数量不超过拟发行股票公司本次发行股票的总量；</w:t>
      </w:r>
    </w:p>
    <w:p w14:paraId="3E38430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w:t>
      </w:r>
      <w:r w:rsidRPr="00960C25">
        <w:rPr>
          <w:rFonts w:asciiTheme="minorEastAsia" w:eastAsiaTheme="minorEastAsia" w:hAnsiTheme="minorEastAsia"/>
          <w:sz w:val="24"/>
        </w:rPr>
        <w:t>1.</w:t>
      </w:r>
      <w:r w:rsidRPr="00960C25">
        <w:rPr>
          <w:rFonts w:asciiTheme="minorEastAsia" w:eastAsiaTheme="minorEastAsia" w:hAnsiTheme="minorEastAsia" w:hint="eastAsia"/>
          <w:sz w:val="24"/>
        </w:rPr>
        <w:t>本基金进入全国银行间同业市场进行债券回购的资金余额不得超过基金资产净值的40%，进入全国银行间同业市场进行债券回购的最长期限为1年，债券回购到期后不得展期；</w:t>
      </w:r>
    </w:p>
    <w:p w14:paraId="0F70E57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w:t>
      </w:r>
      <w:r w:rsidRPr="00960C25">
        <w:rPr>
          <w:rFonts w:asciiTheme="minorEastAsia" w:eastAsiaTheme="minorEastAsia" w:hAnsiTheme="minorEastAsia"/>
          <w:sz w:val="24"/>
        </w:rPr>
        <w:t>2.</w:t>
      </w:r>
      <w:r w:rsidRPr="00960C25">
        <w:rPr>
          <w:rFonts w:asciiTheme="minorEastAsia" w:eastAsiaTheme="minorEastAsia" w:hAnsiTheme="minorEastAsia" w:hint="eastAsia"/>
          <w:sz w:val="24"/>
        </w:rPr>
        <w:t>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91F283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w:t>
      </w:r>
      <w:r w:rsidRPr="00960C25">
        <w:rPr>
          <w:rFonts w:asciiTheme="minorEastAsia" w:eastAsiaTheme="minorEastAsia" w:hAnsiTheme="minorEastAsia"/>
          <w:sz w:val="24"/>
        </w:rPr>
        <w:t>3.</w:t>
      </w:r>
      <w:r w:rsidRPr="00960C25">
        <w:rPr>
          <w:rFonts w:asciiTheme="minorEastAsia" w:eastAsiaTheme="minorEastAsia" w:hAnsiTheme="minorEastAsia" w:hint="eastAsia"/>
          <w:sz w:val="24"/>
        </w:rPr>
        <w:t>本基金主动投资于流动性受限资产的市值合计不得超过本基金资产净值的15%；因证券市场波动、上市公司股票停牌、基金规模变动等基金管理人之外的</w:t>
      </w:r>
      <w:r w:rsidRPr="00960C25">
        <w:rPr>
          <w:rFonts w:asciiTheme="minorEastAsia" w:eastAsiaTheme="minorEastAsia" w:hAnsiTheme="minorEastAsia" w:hint="eastAsia"/>
          <w:sz w:val="24"/>
        </w:rPr>
        <w:lastRenderedPageBreak/>
        <w:t>因素致使基金不符合该比例限制的，基金管理人不得主动新增流动性受限资产的投资；</w:t>
      </w:r>
    </w:p>
    <w:p w14:paraId="42624143" w14:textId="7946F189"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w:t>
      </w:r>
      <w:r w:rsidRPr="00960C25">
        <w:rPr>
          <w:rFonts w:asciiTheme="minorEastAsia" w:eastAsiaTheme="minorEastAsia" w:hAnsiTheme="minorEastAsia"/>
          <w:sz w:val="24"/>
        </w:rPr>
        <w:t>4.</w:t>
      </w:r>
      <w:r w:rsidRPr="00960C25">
        <w:rPr>
          <w:rFonts w:asciiTheme="minorEastAsia" w:eastAsiaTheme="minorEastAsia" w:hAnsiTheme="minorEastAsia" w:hint="eastAsia"/>
          <w:sz w:val="24"/>
        </w:rPr>
        <w:t>本基金参与股指期货交易和国债期货交易，应当遵循下列要求：</w:t>
      </w:r>
    </w:p>
    <w:p w14:paraId="4E6E8EF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本基金在任何交易日日终，持有的买入股指期货和国债期货合约价值与有价证券市值之和，不得超过基金资产净值的95%；其中，有价证券指股票、债券（不含到期日在一年以内的政府债券）、资产支持证券、买入返售金融资产（不含质押式回购）等；</w:t>
      </w:r>
    </w:p>
    <w:p w14:paraId="026F7B9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09E50BE0" w14:textId="4B65CBDF"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14:paraId="6EE02A24" w14:textId="1B4B117E"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w:t>
      </w:r>
      <w:r w:rsidR="00A36AA9" w:rsidRPr="00960C25">
        <w:rPr>
          <w:rFonts w:asciiTheme="minorEastAsia" w:eastAsiaTheme="minorEastAsia" w:hAnsiTheme="minorEastAsia"/>
          <w:sz w:val="24"/>
        </w:rPr>
        <w:t>5</w:t>
      </w:r>
      <w:r w:rsidRPr="00960C25">
        <w:rPr>
          <w:rFonts w:asciiTheme="minorEastAsia" w:eastAsiaTheme="minorEastAsia" w:hAnsiTheme="minorEastAsia"/>
          <w:sz w:val="24"/>
        </w:rPr>
        <w:t>.</w:t>
      </w:r>
      <w:r w:rsidRPr="00960C25">
        <w:rPr>
          <w:rFonts w:asciiTheme="minorEastAsia" w:eastAsiaTheme="minorEastAsia" w:hAnsiTheme="minorEastAsia" w:hint="eastAsia"/>
          <w:sz w:val="24"/>
        </w:rPr>
        <w:t>本基金资产总值不超过基金资产净值的140%；</w:t>
      </w:r>
    </w:p>
    <w:p w14:paraId="28BD87B3" w14:textId="29EABC55"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w:t>
      </w:r>
      <w:r w:rsidR="00A36AA9" w:rsidRPr="00960C25">
        <w:rPr>
          <w:rFonts w:asciiTheme="minorEastAsia" w:eastAsiaTheme="minorEastAsia" w:hAnsiTheme="minorEastAsia"/>
          <w:sz w:val="24"/>
        </w:rPr>
        <w:t>6</w:t>
      </w:r>
      <w:r w:rsidRPr="00960C25">
        <w:rPr>
          <w:rFonts w:asciiTheme="minorEastAsia" w:eastAsiaTheme="minorEastAsia" w:hAnsiTheme="minorEastAsia"/>
          <w:sz w:val="24"/>
        </w:rPr>
        <w:t>.</w:t>
      </w:r>
      <w:r w:rsidRPr="00960C25">
        <w:rPr>
          <w:rFonts w:asciiTheme="minorEastAsia" w:eastAsiaTheme="minorEastAsia" w:hAnsiTheme="minorEastAsia" w:hint="eastAsia"/>
          <w:sz w:val="24"/>
        </w:rPr>
        <w:t>本基金参与融资的，每个交易日日终，本基金持有的融资买入股票与其他有价证券市值之和，不得超过基金资产净值的95%；</w:t>
      </w:r>
    </w:p>
    <w:p w14:paraId="0A0BAD61" w14:textId="2D47CD24"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w:t>
      </w:r>
      <w:r w:rsidR="00A36AA9" w:rsidRPr="00960C25">
        <w:rPr>
          <w:rFonts w:asciiTheme="minorEastAsia" w:eastAsiaTheme="minorEastAsia" w:hAnsiTheme="minorEastAsia"/>
          <w:sz w:val="24"/>
        </w:rPr>
        <w:t>7</w:t>
      </w:r>
      <w:r w:rsidRPr="00960C25">
        <w:rPr>
          <w:rFonts w:asciiTheme="minorEastAsia" w:eastAsiaTheme="minorEastAsia" w:hAnsiTheme="minorEastAsia"/>
          <w:sz w:val="24"/>
        </w:rPr>
        <w:t>.</w:t>
      </w:r>
      <w:r w:rsidRPr="00960C25">
        <w:rPr>
          <w:rFonts w:asciiTheme="minorEastAsia" w:eastAsiaTheme="minorEastAsia" w:hAnsiTheme="minorEastAsia" w:hint="eastAsia"/>
          <w:sz w:val="24"/>
        </w:rPr>
        <w:t>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7D07236C" w14:textId="3695A3C3"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w:t>
      </w:r>
      <w:r w:rsidR="00A36AA9" w:rsidRPr="00960C25">
        <w:rPr>
          <w:rFonts w:asciiTheme="minorEastAsia" w:eastAsiaTheme="minorEastAsia" w:hAnsiTheme="minorEastAsia"/>
          <w:sz w:val="24"/>
        </w:rPr>
        <w:t>8</w:t>
      </w:r>
      <w:r w:rsidRPr="00960C25">
        <w:rPr>
          <w:rFonts w:asciiTheme="minorEastAsia" w:eastAsiaTheme="minorEastAsia" w:hAnsiTheme="minorEastAsia"/>
          <w:sz w:val="24"/>
        </w:rPr>
        <w:t>.</w:t>
      </w:r>
      <w:r w:rsidRPr="00960C25">
        <w:rPr>
          <w:rFonts w:asciiTheme="minorEastAsia" w:eastAsiaTheme="minorEastAsia" w:hAnsiTheme="minorEastAsia" w:hint="eastAsia"/>
          <w:sz w:val="24"/>
        </w:rPr>
        <w:t>本基金投资于同业存单的比例不超过基金资产的20%；</w:t>
      </w:r>
    </w:p>
    <w:p w14:paraId="24A243C2" w14:textId="1E601117" w:rsidR="00B97791" w:rsidRPr="00960C25" w:rsidRDefault="00A36AA9"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sz w:val="24"/>
        </w:rPr>
        <w:t>19</w:t>
      </w:r>
      <w:r w:rsidR="005916C4" w:rsidRPr="00960C25">
        <w:rPr>
          <w:rFonts w:asciiTheme="minorEastAsia" w:eastAsiaTheme="minorEastAsia" w:hAnsiTheme="minorEastAsia"/>
          <w:sz w:val="24"/>
        </w:rPr>
        <w:t>.</w:t>
      </w:r>
      <w:r w:rsidR="00B97791" w:rsidRPr="00960C25">
        <w:rPr>
          <w:rFonts w:asciiTheme="minorEastAsia" w:eastAsiaTheme="minorEastAsia" w:hAnsiTheme="minorEastAsia" w:hint="eastAsia"/>
          <w:sz w:val="24"/>
        </w:rPr>
        <w:t>本基金投资存托凭证的比例限制依照境内上市交易的股票执行；</w:t>
      </w:r>
    </w:p>
    <w:p w14:paraId="727A0884" w14:textId="0118B4E6" w:rsidR="00B07A76" w:rsidRPr="00960C25" w:rsidRDefault="00B97791"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2</w:t>
      </w:r>
      <w:r w:rsidRPr="00960C25">
        <w:rPr>
          <w:rFonts w:asciiTheme="minorEastAsia" w:eastAsiaTheme="minorEastAsia" w:hAnsiTheme="minorEastAsia"/>
          <w:sz w:val="24"/>
        </w:rPr>
        <w:t>0.</w:t>
      </w:r>
      <w:r w:rsidR="005916C4" w:rsidRPr="00960C25">
        <w:rPr>
          <w:rFonts w:asciiTheme="minorEastAsia" w:eastAsiaTheme="minorEastAsia" w:hAnsiTheme="minorEastAsia" w:hint="eastAsia"/>
          <w:sz w:val="24"/>
        </w:rPr>
        <w:t>法律法规及中国证监会规定的和《基金合同》约定的其他投资限制。</w:t>
      </w:r>
    </w:p>
    <w:p w14:paraId="4EA59781" w14:textId="3133047E"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除上述2、9、1</w:t>
      </w:r>
      <w:r w:rsidRPr="00960C25">
        <w:rPr>
          <w:rFonts w:asciiTheme="minorEastAsia" w:eastAsiaTheme="minorEastAsia" w:hAnsiTheme="minorEastAsia"/>
          <w:sz w:val="24"/>
        </w:rPr>
        <w:t>3</w:t>
      </w:r>
      <w:r w:rsidRPr="00960C25">
        <w:rPr>
          <w:rFonts w:asciiTheme="minorEastAsia" w:eastAsiaTheme="minorEastAsia" w:hAnsiTheme="minorEastAsia" w:hint="eastAsia"/>
          <w:sz w:val="24"/>
        </w:rPr>
        <w:t>情形之外，因证券/期货市场波动、证券发行人合并、基金规模变动等基金管理人之外的因素致使基金投资比例不符合上述规定投资比例的，</w:t>
      </w:r>
      <w:r w:rsidRPr="00960C25">
        <w:rPr>
          <w:rFonts w:asciiTheme="minorEastAsia" w:eastAsiaTheme="minorEastAsia" w:hAnsiTheme="minorEastAsia" w:hint="eastAsia"/>
          <w:sz w:val="24"/>
        </w:rPr>
        <w:lastRenderedPageBreak/>
        <w:t>基金管理人应当在10个交易日内进行调整，但中国证监会规定的特殊情形除外。法律法规另有规定的，从其规定。</w:t>
      </w:r>
    </w:p>
    <w:p w14:paraId="41B20AE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6590DF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法律法规或监管部门取消或变更上述限制，如适用于本基金，基金管理人在履行适当程序后，则本基金投资不再受相关限制或以变更以后的规定为准。</w:t>
      </w:r>
    </w:p>
    <w:p w14:paraId="51DC7083" w14:textId="608F4BF2" w:rsidR="00EE189C"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w:t>
      </w:r>
      <w:r w:rsidR="00EE189C" w:rsidRPr="00960C25">
        <w:rPr>
          <w:rFonts w:asciiTheme="minorEastAsia" w:eastAsiaTheme="minorEastAsia" w:hAnsiTheme="minorEastAsia" w:cs="Arial" w:hint="eastAsia"/>
          <w:sz w:val="24"/>
        </w:rPr>
        <w:t>侧袋机制的实施和投资运作安排</w:t>
      </w:r>
    </w:p>
    <w:p w14:paraId="10D53B3E" w14:textId="77777777" w:rsidR="00EE189C" w:rsidRPr="00960C25" w:rsidRDefault="00EE189C"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F4E7158" w14:textId="77777777" w:rsidR="00EE189C" w:rsidRPr="00960C25" w:rsidRDefault="00EE189C"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侧袋机制实施期间，本部分约定的投资组合比例、投资策略、组合限制、业绩比较基准、风险收益特征等约定仅适用于主袋账户。</w:t>
      </w:r>
    </w:p>
    <w:p w14:paraId="5F5F232B" w14:textId="77777777" w:rsidR="00EE189C" w:rsidRPr="00960C25" w:rsidRDefault="00EE189C"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侧袋账户的实施条件、实施程序、运作安排、投资安排、特定资产的处置变现和支付等对投资者权益有重大影响的事项详见招募说明书的规定。</w:t>
      </w:r>
    </w:p>
    <w:p w14:paraId="017AAD75" w14:textId="5FD51F88" w:rsidR="00B07A76" w:rsidRPr="00960C25" w:rsidRDefault="00EE189C"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（四）</w:t>
      </w:r>
      <w:r w:rsidR="005916C4" w:rsidRPr="00960C25">
        <w:rPr>
          <w:rFonts w:asciiTheme="minorEastAsia" w:eastAsiaTheme="minorEastAsia" w:hAnsiTheme="minorEastAsia" w:cs="Arial" w:hint="eastAsia"/>
          <w:sz w:val="24"/>
        </w:rPr>
        <w:t>基金托管人</w:t>
      </w:r>
      <w:bookmarkStart w:id="5" w:name="OLE_LINK1"/>
      <w:r w:rsidR="005916C4" w:rsidRPr="00960C25">
        <w:rPr>
          <w:rFonts w:asciiTheme="minorEastAsia" w:eastAsiaTheme="minorEastAsia" w:hAnsiTheme="minorEastAsia" w:cs="Arial" w:hint="eastAsia"/>
          <w:sz w:val="24"/>
        </w:rPr>
        <w:t>根据有关法律法规的规定及《基金合同》的约定，</w:t>
      </w:r>
      <w:bookmarkEnd w:id="5"/>
      <w:r w:rsidR="005916C4" w:rsidRPr="00960C25">
        <w:rPr>
          <w:rFonts w:asciiTheme="minorEastAsia" w:eastAsiaTheme="minorEastAsia" w:hAnsiTheme="minorEastAsia" w:cs="Arial" w:hint="eastAsia"/>
          <w:sz w:val="24"/>
        </w:rPr>
        <w:t>对本托管协议第十五条第九款基金投资禁止行为通过事后监督方式进行监督。</w:t>
      </w:r>
    </w:p>
    <w:p w14:paraId="5A5D0F5C" w14:textId="4EBCEF74"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按照市场公平合理价格执行。相关交易必须事先得到基金托管人的同意，并履行信息披露义务。</w:t>
      </w:r>
    </w:p>
    <w:p w14:paraId="3F231C8E" w14:textId="10F1A900"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w:t>
      </w:r>
      <w:r w:rsidR="00310215" w:rsidRPr="00960C25">
        <w:rPr>
          <w:rFonts w:asciiTheme="minorEastAsia" w:eastAsiaTheme="minorEastAsia" w:hAnsiTheme="minorEastAsia" w:cs="Arial" w:hint="eastAsia"/>
          <w:sz w:val="24"/>
        </w:rPr>
        <w:t>五</w:t>
      </w:r>
      <w:r w:rsidRPr="00960C25">
        <w:rPr>
          <w:rFonts w:asciiTheme="minorEastAsia" w:eastAsiaTheme="minorEastAsia" w:hAnsiTheme="minorEastAsia" w:cs="Arial" w:hint="eastAsia"/>
          <w:sz w:val="24"/>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w:t>
      </w:r>
      <w:r w:rsidRPr="00960C25">
        <w:rPr>
          <w:rFonts w:asciiTheme="minorEastAsia" w:eastAsiaTheme="minorEastAsia" w:hAnsiTheme="minorEastAsia" w:cs="Arial" w:hint="eastAsia"/>
          <w:sz w:val="24"/>
        </w:rPr>
        <w:lastRenderedPageBreak/>
        <w:t>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410B5A9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color w:val="000000"/>
          <w:sz w:val="24"/>
        </w:rPr>
      </w:pPr>
      <w:r w:rsidRPr="00960C25">
        <w:rPr>
          <w:rFonts w:asciiTheme="minorEastAsia" w:eastAsiaTheme="minorEastAsia" w:hAnsiTheme="minorEastAsia" w:cs="Arial" w:hint="eastAsia"/>
          <w:color w:val="000000"/>
          <w:sz w:val="24"/>
        </w:rPr>
        <w:t>基金管理人负责对交易对手的资信控制，按银行间债券市场的交易规则进行交易，并</w:t>
      </w:r>
      <w:r w:rsidRPr="00960C25">
        <w:rPr>
          <w:rFonts w:asciiTheme="minorEastAsia" w:eastAsia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960C25">
        <w:rPr>
          <w:rFonts w:asciiTheme="minorEastAsia" w:eastAsiaTheme="minorEastAsia" w:hAnsiTheme="minorEastAsia"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BA00981" w14:textId="21ED1DA6"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w:t>
      </w:r>
      <w:r w:rsidR="00310215" w:rsidRPr="00960C25">
        <w:rPr>
          <w:rFonts w:asciiTheme="minorEastAsia" w:eastAsiaTheme="minorEastAsia" w:hAnsiTheme="minorEastAsia" w:cs="Arial"/>
          <w:sz w:val="24"/>
        </w:rPr>
        <w:t>六</w:t>
      </w:r>
      <w:r w:rsidRPr="00960C25">
        <w:rPr>
          <w:rFonts w:asciiTheme="minorEastAsia" w:eastAsiaTheme="minorEastAsia" w:hAnsiTheme="minorEastAsia" w:cs="Arial" w:hint="eastAsia"/>
          <w:sz w:val="24"/>
        </w:rPr>
        <w:t>）基金托管人根据有关法律法规的规定及《基金合同》的约定，对基金管理人投资流通受限证券进行监督。</w:t>
      </w:r>
    </w:p>
    <w:p w14:paraId="21310A7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716C5092" w14:textId="2818849D"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sz w:val="24"/>
        </w:rPr>
        <w:t>1.本基金</w:t>
      </w:r>
      <w:r w:rsidRPr="00960C25">
        <w:rPr>
          <w:rFonts w:asciiTheme="minorEastAsia" w:eastAsiaTheme="minorEastAsia" w:hAnsiTheme="minorEastAsia"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35BF83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本基金投资的流通受限证券限于可由中国证券登记结算有限责任公司或中央国债登记结算有限责任公司负责登记和存管，并可在证券交易所或全国银行间债券市场交易的证券。</w:t>
      </w:r>
    </w:p>
    <w:p w14:paraId="5A4DFD2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CF6346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lastRenderedPageBreak/>
        <w:t>本基金投资流通受限证券，不得预付任何形式的保证金。</w:t>
      </w:r>
    </w:p>
    <w:p w14:paraId="0C4484A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sz w:val="24"/>
        </w:rPr>
        <w:t>2.</w:t>
      </w:r>
      <w:r w:rsidRPr="00960C25">
        <w:rPr>
          <w:rFonts w:asciiTheme="minorEastAsia" w:eastAsiaTheme="minorEastAsia" w:hAnsiTheme="minorEastAsia"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3BA271B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1F1019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sz w:val="24"/>
        </w:rPr>
        <w:t>3.</w:t>
      </w:r>
      <w:r w:rsidRPr="00960C25">
        <w:rPr>
          <w:rFonts w:asciiTheme="minorEastAsia" w:eastAsiaTheme="minorEastAsia" w:hAnsiTheme="minorEastAsia"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5D62F8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（1）中国证监会批准发行非公开发行股票的批准文件。</w:t>
      </w:r>
    </w:p>
    <w:p w14:paraId="34EB3B8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（2）非公开发行股票有关发行数量、发行价格、锁定期等发行资料。</w:t>
      </w:r>
    </w:p>
    <w:p w14:paraId="3F581F2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（3）非公开发行股票发行人与中国证券登记结算有限责任公司或中央国债登记结算有限责任公司签订的证券登记及服务协议。</w:t>
      </w:r>
    </w:p>
    <w:p w14:paraId="32AF3AD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（4）基金拟认购的数量、价格、总成本、账面价值。</w:t>
      </w:r>
    </w:p>
    <w:p w14:paraId="077000C7" w14:textId="4381DFCA"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sz w:val="24"/>
        </w:rPr>
        <w:t>4.</w:t>
      </w:r>
      <w:r w:rsidRPr="00960C25">
        <w:rPr>
          <w:rFonts w:asciiTheme="minorEastAsia" w:eastAsiaTheme="minorEastAsia" w:hAnsiTheme="minorEastAsia" w:hint="eastAsia"/>
          <w:sz w:val="24"/>
        </w:rPr>
        <w:t>基金管理人应在本基金投资非公开发行股票后两个交易日内，在中国证监会</w:t>
      </w:r>
      <w:r w:rsidR="007D7F25" w:rsidRPr="00960C25">
        <w:rPr>
          <w:rFonts w:asciiTheme="minorEastAsia" w:eastAsiaTheme="minorEastAsia" w:hAnsiTheme="minorEastAsia" w:hint="eastAsia"/>
          <w:sz w:val="24"/>
        </w:rPr>
        <w:t>规定媒介</w:t>
      </w:r>
      <w:r w:rsidRPr="00960C25">
        <w:rPr>
          <w:rFonts w:asciiTheme="minorEastAsia" w:eastAsiaTheme="minorEastAsia" w:hAnsiTheme="minorEastAsia" w:hint="eastAsia"/>
          <w:sz w:val="24"/>
        </w:rPr>
        <w:t>披露所投资非公开发行股票的名称、数量、总成本、账面价值，以及总成本和账面价值占基金资产净值的比例、锁定期等信息。</w:t>
      </w:r>
    </w:p>
    <w:p w14:paraId="6EDA8325" w14:textId="68730F56"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本基金有关投资流通受限证券比例如违反有关限制规定，在合理期限内未能进行及时调整，基金管理人应在两日内编制临时报告书，予以公告。</w:t>
      </w:r>
    </w:p>
    <w:p w14:paraId="4FE60CC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sz w:val="24"/>
        </w:rPr>
        <w:t>5.</w:t>
      </w:r>
      <w:r w:rsidRPr="00960C25">
        <w:rPr>
          <w:rFonts w:asciiTheme="minorEastAsia" w:eastAsiaTheme="minorEastAsia" w:hAnsiTheme="minorEastAsia" w:hint="eastAsia"/>
          <w:sz w:val="24"/>
        </w:rPr>
        <w:t>基金托管人根据有关规定有权对基金管理人进行以下事项监督：</w:t>
      </w:r>
    </w:p>
    <w:p w14:paraId="47848B7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（1）本基金投资流通受限证券时的法律法规遵守情况。</w:t>
      </w:r>
    </w:p>
    <w:p w14:paraId="42E6A93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（2）在基金投资流通受限证券管理工作方面有关制度、流动性风险处置预案</w:t>
      </w:r>
      <w:r w:rsidRPr="00960C25">
        <w:rPr>
          <w:rFonts w:asciiTheme="minorEastAsia" w:eastAsiaTheme="minorEastAsia" w:hAnsiTheme="minorEastAsia" w:hint="eastAsia"/>
          <w:sz w:val="24"/>
        </w:rPr>
        <w:lastRenderedPageBreak/>
        <w:t>的建立与完善情况。</w:t>
      </w:r>
    </w:p>
    <w:p w14:paraId="25F6BF8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（3）有关比例限制的执行情况。</w:t>
      </w:r>
    </w:p>
    <w:p w14:paraId="061DA2D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hint="eastAsia"/>
          <w:sz w:val="24"/>
        </w:rPr>
        <w:t>（4）信息披露情况。</w:t>
      </w:r>
    </w:p>
    <w:p w14:paraId="39FDBA7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sz w:val="24"/>
        </w:rPr>
        <w:t>6.</w:t>
      </w:r>
      <w:r w:rsidRPr="00960C25">
        <w:rPr>
          <w:rFonts w:asciiTheme="minorEastAsia" w:eastAsiaTheme="minorEastAsia" w:hAnsiTheme="minorEastAsia" w:hint="eastAsia"/>
          <w:sz w:val="24"/>
        </w:rPr>
        <w:t>相关法律法规对基金投资流通受限证券有新规定的，从其规定。</w:t>
      </w:r>
    </w:p>
    <w:p w14:paraId="0935728E" w14:textId="20972912"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w:t>
      </w:r>
      <w:r w:rsidR="00310215" w:rsidRPr="00960C25">
        <w:rPr>
          <w:rFonts w:asciiTheme="minorEastAsia" w:eastAsiaTheme="minorEastAsia" w:hAnsiTheme="minorEastAsia" w:cs="Arial"/>
          <w:sz w:val="24"/>
        </w:rPr>
        <w:t>七</w:t>
      </w:r>
      <w:r w:rsidRPr="00960C25">
        <w:rPr>
          <w:rFonts w:asciiTheme="minorEastAsia" w:eastAsiaTheme="minorEastAsia" w:hAnsiTheme="minorEastAsia"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62785626" w14:textId="620F611E"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w:t>
      </w:r>
      <w:r w:rsidR="00310215" w:rsidRPr="00960C25">
        <w:rPr>
          <w:rFonts w:asciiTheme="minorEastAsia" w:eastAsiaTheme="minorEastAsia" w:hAnsiTheme="minorEastAsia" w:cs="Arial"/>
          <w:sz w:val="24"/>
        </w:rPr>
        <w:t>八</w:t>
      </w:r>
      <w:r w:rsidRPr="00960C25">
        <w:rPr>
          <w:rFonts w:asciiTheme="minorEastAsia" w:eastAsiaTheme="minorEastAsia" w:hAnsiTheme="minorEastAsia"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D8DE238" w14:textId="030DA3FA"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w:t>
      </w:r>
      <w:r w:rsidR="00310215" w:rsidRPr="00960C25">
        <w:rPr>
          <w:rFonts w:asciiTheme="minorEastAsia" w:eastAsiaTheme="minorEastAsia" w:hAnsiTheme="minorEastAsia" w:cs="Arial"/>
          <w:sz w:val="24"/>
        </w:rPr>
        <w:t>九</w:t>
      </w:r>
      <w:r w:rsidRPr="00960C25">
        <w:rPr>
          <w:rFonts w:asciiTheme="minorEastAsia" w:eastAsiaTheme="minorEastAsia" w:hAnsiTheme="minorEastAsia"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72C6633" w14:textId="3D586CC3"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w:t>
      </w:r>
      <w:r w:rsidR="00310215" w:rsidRPr="00960C25">
        <w:rPr>
          <w:rFonts w:asciiTheme="minorEastAsia" w:eastAsiaTheme="minorEastAsia" w:hAnsiTheme="minorEastAsia" w:cs="Arial"/>
          <w:sz w:val="24"/>
        </w:rPr>
        <w:t>十</w:t>
      </w:r>
      <w:r w:rsidRPr="00960C25">
        <w:rPr>
          <w:rFonts w:asciiTheme="minorEastAsia" w:eastAsiaTheme="minorEastAsia" w:hAnsiTheme="minorEastAsia"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4D595C90" w14:textId="39DE89F1"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w:t>
      </w:r>
      <w:r w:rsidR="000E7DD8" w:rsidRPr="00960C25">
        <w:rPr>
          <w:rFonts w:asciiTheme="minorEastAsia" w:eastAsiaTheme="minorEastAsia" w:hAnsiTheme="minorEastAsia" w:cs="Arial"/>
          <w:sz w:val="24"/>
        </w:rPr>
        <w:t>十</w:t>
      </w:r>
      <w:r w:rsidR="00310215" w:rsidRPr="00960C25">
        <w:rPr>
          <w:rFonts w:asciiTheme="minorEastAsia" w:eastAsiaTheme="minorEastAsia" w:hAnsiTheme="minorEastAsia" w:cs="Arial"/>
          <w:sz w:val="24"/>
        </w:rPr>
        <w:t>一</w:t>
      </w:r>
      <w:r w:rsidRPr="00960C25">
        <w:rPr>
          <w:rFonts w:asciiTheme="minorEastAsia" w:eastAsiaTheme="minorEastAsia" w:hAnsiTheme="minorEastAsia"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840D654"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6" w:name="_Toc118212950"/>
      <w:bookmarkStart w:id="7" w:name="_Toc118972648"/>
      <w:bookmarkStart w:id="8" w:name="_Toc86727355"/>
      <w:bookmarkStart w:id="9" w:name="_Toc110765660"/>
      <w:bookmarkStart w:id="10" w:name="_Toc86726439"/>
      <w:bookmarkStart w:id="11" w:name="_Toc119402710"/>
      <w:bookmarkStart w:id="12" w:name="_Toc86737929"/>
      <w:bookmarkStart w:id="13" w:name="_Toc86225291"/>
      <w:bookmarkStart w:id="14" w:name="_Toc110761796"/>
      <w:bookmarkStart w:id="15" w:name="_Toc108512358"/>
      <w:bookmarkStart w:id="16" w:name="_Toc118774803"/>
      <w:bookmarkStart w:id="17" w:name="_Toc89163368"/>
      <w:bookmarkStart w:id="18" w:name="_Toc86649722"/>
      <w:bookmarkStart w:id="19" w:name="_Toc120435783"/>
      <w:bookmarkStart w:id="20" w:name="_Toc86223242"/>
      <w:bookmarkStart w:id="21" w:name="_Toc124325888"/>
      <w:bookmarkStart w:id="22" w:name="_Toc110830492"/>
      <w:r w:rsidRPr="00960C25">
        <w:rPr>
          <w:rFonts w:asciiTheme="minorEastAsia" w:eastAsiaTheme="minorEastAsia" w:hAnsiTheme="minorEastAsia" w:hint="eastAsia"/>
          <w:sz w:val="24"/>
          <w:szCs w:val="24"/>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A6B426F"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管理人对基金托管人履行托管职责情况进行核查，核查事项包括基金托管人安全保管基金财产、开设基金财产的资金账户、证券账户及投资所需的其他账户、复核基金管理人计算的基金资产净值和基金份额净值、根据基金管理人指令办理清算交收、相关信息披露和监督基金投资运作等行为。</w:t>
      </w:r>
    </w:p>
    <w:p w14:paraId="2FE08826"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3D3DBE4"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1A79B9D" w14:textId="77777777" w:rsidR="00B07A76" w:rsidRPr="00960C25" w:rsidRDefault="00B07A76" w:rsidP="00960C25">
      <w:pPr>
        <w:spacing w:line="360" w:lineRule="auto"/>
        <w:rPr>
          <w:rFonts w:asciiTheme="minorEastAsia" w:eastAsiaTheme="minorEastAsia" w:hAnsiTheme="minorEastAsia"/>
          <w:sz w:val="24"/>
        </w:rPr>
      </w:pPr>
    </w:p>
    <w:p w14:paraId="16098B16"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23" w:name="_Toc89163369"/>
      <w:bookmarkStart w:id="24" w:name="_Toc118774804"/>
      <w:bookmarkStart w:id="25" w:name="_Toc108512359"/>
      <w:bookmarkStart w:id="26" w:name="_Toc118212951"/>
      <w:bookmarkStart w:id="27" w:name="_Toc119402711"/>
      <w:bookmarkStart w:id="28" w:name="_Toc86223243"/>
      <w:bookmarkStart w:id="29" w:name="_Toc86649723"/>
      <w:bookmarkStart w:id="30" w:name="_Toc86737930"/>
      <w:bookmarkStart w:id="31" w:name="_Toc86727356"/>
      <w:bookmarkStart w:id="32" w:name="_Toc84234388"/>
      <w:bookmarkStart w:id="33" w:name="_Toc84133786"/>
      <w:bookmarkStart w:id="34" w:name="_Toc86225292"/>
      <w:bookmarkStart w:id="35" w:name="_Toc110765661"/>
      <w:bookmarkStart w:id="36" w:name="_Toc110830493"/>
      <w:bookmarkStart w:id="37" w:name="_Toc120435784"/>
      <w:bookmarkStart w:id="38" w:name="_Toc118972649"/>
      <w:bookmarkStart w:id="39" w:name="_Toc84234435"/>
      <w:bookmarkStart w:id="40" w:name="_Toc110761797"/>
      <w:bookmarkStart w:id="41" w:name="_Toc86726440"/>
      <w:bookmarkStart w:id="42" w:name="_Toc124325889"/>
      <w:bookmarkStart w:id="43" w:name="_Toc86204789"/>
      <w:r w:rsidRPr="00960C25">
        <w:rPr>
          <w:rFonts w:asciiTheme="minorEastAsia" w:eastAsiaTheme="minorEastAsia" w:hAnsiTheme="minorEastAsia" w:hint="eastAsia"/>
          <w:sz w:val="24"/>
          <w:szCs w:val="24"/>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729958D"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（一）基金财产保管的原则</w:t>
      </w:r>
    </w:p>
    <w:p w14:paraId="615AF6EF"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1.基金财产应独立于基金管理人、基金托管人的固有财产。</w:t>
      </w:r>
    </w:p>
    <w:p w14:paraId="79C01390"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2.基金托管人应安全保管基金财产。</w:t>
      </w:r>
    </w:p>
    <w:p w14:paraId="58BB70A6"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3.基金托管人按照规定开设基金财产的资金账户、证券账户</w:t>
      </w:r>
      <w:r w:rsidRPr="00960C25">
        <w:rPr>
          <w:rFonts w:asciiTheme="minorEastAsia" w:eastAsiaTheme="minorEastAsia" w:hAnsiTheme="minorEastAsia" w:cs="Arial"/>
          <w:sz w:val="24"/>
        </w:rPr>
        <w:t>及投资所需的其他</w:t>
      </w:r>
      <w:r w:rsidRPr="00960C25">
        <w:rPr>
          <w:rFonts w:asciiTheme="minorEastAsia" w:eastAsiaTheme="minorEastAsia" w:hAnsiTheme="minorEastAsia" w:cs="Arial" w:hint="eastAsia"/>
          <w:sz w:val="24"/>
        </w:rPr>
        <w:t>账户。</w:t>
      </w:r>
    </w:p>
    <w:p w14:paraId="30D8C11C"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4.基金托管人对所托管的不同基金财产分别设置账户，确保基金财产的完整与独立。</w:t>
      </w:r>
    </w:p>
    <w:p w14:paraId="06752B90"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lastRenderedPageBreak/>
        <w:t>5.基金托管人按照《基金合同》和本协议的约定保管基金财产，如有特殊情况双方可另行协商解决。基金</w:t>
      </w:r>
      <w:r w:rsidRPr="00960C25">
        <w:rPr>
          <w:rFonts w:asciiTheme="minorEastAsia" w:eastAsiaTheme="minorEastAsia" w:hAnsiTheme="minorEastAsia"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5814E55D"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4B00783"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7.除依据法律法规和《基金合同》的规定外，基金托管人不得委托第三人托管基金财产。</w:t>
      </w:r>
    </w:p>
    <w:p w14:paraId="601D078D"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（二）基金募集期间及募集资金的验资</w:t>
      </w:r>
    </w:p>
    <w:p w14:paraId="54B799B1"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1.基金募集期间募集的资金应存于基金管理人在基金托管人的营业机构开立的“基金募集专户”。该账户由基金管理人开立并管理。</w:t>
      </w:r>
    </w:p>
    <w:p w14:paraId="2290039A"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期货相关业务资格的会计师事务所进行验资，出具验资报告。出具的验资报告由参加验资的2名或2名以上中国注册会计师签字方为有效。</w:t>
      </w:r>
    </w:p>
    <w:p w14:paraId="09E6FECB"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3.若基金募集期限届满，未能达到《基金合同》生效的条件，由基金管理人按规定办理退款等事宜。</w:t>
      </w:r>
    </w:p>
    <w:p w14:paraId="7DC96F09"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（三）基金银行账户的开立和管理</w:t>
      </w:r>
    </w:p>
    <w:p w14:paraId="33B59C70"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1.基金托管人可以基金的名义在其营业机构开立基金的银行账户，并根据基金管理人合法合规的指令办理资金收付。本基金的银行预留印鉴由基金托管人保管和使用。</w:t>
      </w:r>
    </w:p>
    <w:p w14:paraId="593F4B61"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C3BA825"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lastRenderedPageBreak/>
        <w:t>3.基金银行账户的开立和管理应符合银行业监督管理机构的有关规定。</w:t>
      </w:r>
    </w:p>
    <w:p w14:paraId="47AE8076"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4.在符合法律法规规定的条件下，基金托管人可以通过基金托管人专用账户办理基金资产的支付。</w:t>
      </w:r>
    </w:p>
    <w:p w14:paraId="0C8313CD" w14:textId="0C516370"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5.</w:t>
      </w:r>
      <w:r w:rsidR="000E7DD8" w:rsidRPr="00960C25">
        <w:rPr>
          <w:rFonts w:asciiTheme="minorEastAsia" w:eastAsiaTheme="minorEastAsia" w:hAnsiTheme="minorEastAsia" w:cs="Arial" w:hint="eastAsia"/>
          <w:sz w:val="24"/>
        </w:rPr>
        <w:t>基金</w:t>
      </w:r>
      <w:r w:rsidRPr="00960C25">
        <w:rPr>
          <w:rFonts w:asciiTheme="minorEastAsia" w:eastAsiaTheme="minorEastAsia" w:hAnsiTheme="minorEastAsia" w:cs="Arial" w:hint="eastAsia"/>
          <w:sz w:val="24"/>
        </w:rPr>
        <w:t>管理人应于托管产品到期后及时完成收益兑付、费用结清及其他应收应付款项资金划转，在确保后续不再发生款项进出后的10个工作日内向</w:t>
      </w:r>
      <w:r w:rsidR="000E7DD8" w:rsidRPr="00960C25">
        <w:rPr>
          <w:rFonts w:asciiTheme="minorEastAsia" w:eastAsiaTheme="minorEastAsia" w:hAnsiTheme="minorEastAsia" w:cs="Arial" w:hint="eastAsia"/>
          <w:sz w:val="24"/>
        </w:rPr>
        <w:t>基金</w:t>
      </w:r>
      <w:r w:rsidRPr="00960C25">
        <w:rPr>
          <w:rFonts w:asciiTheme="minorEastAsia" w:eastAsiaTheme="minorEastAsia" w:hAnsiTheme="minorEastAsia" w:cs="Arial" w:hint="eastAsia"/>
          <w:sz w:val="24"/>
        </w:rPr>
        <w:t>托管人发出销户申请。</w:t>
      </w:r>
    </w:p>
    <w:p w14:paraId="04D72D26"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（四）基金证券账户和结算备付金账户的开立和管理</w:t>
      </w:r>
    </w:p>
    <w:p w14:paraId="4DEBC01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1.基金托管人在中国证券登记结算有限责任公司为基金开立基金托管人与基金联名的证券账户。</w:t>
      </w:r>
    </w:p>
    <w:p w14:paraId="68349EB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5BA08C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3.基金证券账户的开立和证券账户卡的保管由基金托管人负责，账户资产的管理和运用由基金管理人负责。</w:t>
      </w:r>
    </w:p>
    <w:p w14:paraId="0CEFB7E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证券账户开户费由基金管理人先行垫付,待托管产品启始运营后,基金管理人可向基金托管人发送划款指令,将代垫开户费从本基金托管资金账户中扣还基金管理人。</w:t>
      </w:r>
    </w:p>
    <w:p w14:paraId="636DD05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06DE436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5. 账户注销时，在遵守中国证券登记结算公司的相关规定下，由基金管理人和基金托管人协商确认主要办理人。账户注销期间，主要办理人如需另一方提供配合的，另一方应予以配合。</w:t>
      </w:r>
    </w:p>
    <w:p w14:paraId="17CD20F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6</w:t>
      </w:r>
      <w:r w:rsidRPr="00960C25">
        <w:rPr>
          <w:rFonts w:asciiTheme="minorEastAsia" w:eastAsiaTheme="minorEastAsia" w:hAnsiTheme="minorEastAsia" w:cs="Arial"/>
          <w:sz w:val="24"/>
        </w:rPr>
        <w:t>.</w:t>
      </w:r>
      <w:r w:rsidRPr="00960C25">
        <w:rPr>
          <w:rFonts w:asciiTheme="minorEastAsia" w:eastAsiaTheme="minorEastAsia" w:hAnsiTheme="minorEastAsia"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3377377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（五）债券托管账户的开设和管理</w:t>
      </w:r>
    </w:p>
    <w:p w14:paraId="7F97BAD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《基金合同》生效后，基金管理人负责以基金的名义申请并取得进入全国银</w:t>
      </w:r>
      <w:r w:rsidRPr="00960C25">
        <w:rPr>
          <w:rFonts w:asciiTheme="minorEastAsia" w:eastAsiaTheme="minorEastAsia" w:hAnsiTheme="minorEastAsia" w:cs="Arial" w:hint="eastAsia"/>
          <w:sz w:val="24"/>
        </w:rPr>
        <w:lastRenderedPageBreak/>
        <w:t>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7AE8293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（六）其他账户的开立和管理</w:t>
      </w:r>
    </w:p>
    <w:p w14:paraId="378306A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38A38B30"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2.法律法规等有关规定对相关账户的开立和管理另有规定的，从其规定办理。</w:t>
      </w:r>
    </w:p>
    <w:p w14:paraId="751F8BB2"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（七）基金财产投资的有关有价凭证等的保管</w:t>
      </w:r>
    </w:p>
    <w:p w14:paraId="563F350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基金财产投资的有关实物证券、银行</w:t>
      </w:r>
      <w:r w:rsidRPr="00960C25">
        <w:rPr>
          <w:rFonts w:asciiTheme="minorEastAsia" w:eastAsiaTheme="minorEastAsia" w:hAnsiTheme="minorEastAsia" w:hint="eastAsia"/>
          <w:sz w:val="24"/>
        </w:rPr>
        <w:t>存款开户证实书</w:t>
      </w:r>
      <w:r w:rsidRPr="00960C25">
        <w:rPr>
          <w:rFonts w:asciiTheme="minorEastAsia" w:eastAsiaTheme="minorEastAsia" w:hAnsiTheme="minorEastAsia" w:cs="Arial" w:hint="eastAsia"/>
          <w:sz w:val="24"/>
        </w:rPr>
        <w:t>等有价凭证由基金托管人存放于基金托管人的保管库，也可存入中央国债登记结算有限责任公司、银行间市场清算所股份有限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51E1659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（八）与基金财产有关的重大合同的保管</w:t>
      </w:r>
    </w:p>
    <w:p w14:paraId="4F043AB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704D2990" w14:textId="77777777" w:rsidR="00B07A76" w:rsidRPr="00960C25" w:rsidRDefault="00B07A76" w:rsidP="00960C25">
      <w:pPr>
        <w:spacing w:line="360" w:lineRule="auto"/>
        <w:rPr>
          <w:rFonts w:asciiTheme="minorEastAsia" w:eastAsiaTheme="minorEastAsia" w:hAnsiTheme="minorEastAsia"/>
          <w:sz w:val="24"/>
        </w:rPr>
      </w:pPr>
    </w:p>
    <w:p w14:paraId="5B406429"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44" w:name="_Toc108512360"/>
      <w:bookmarkStart w:id="45" w:name="_Toc86223244"/>
      <w:bookmarkStart w:id="46" w:name="_Toc86727357"/>
      <w:bookmarkStart w:id="47" w:name="_Toc86225293"/>
      <w:bookmarkStart w:id="48" w:name="_Toc110830494"/>
      <w:bookmarkStart w:id="49" w:name="_Toc84133787"/>
      <w:bookmarkStart w:id="50" w:name="_Toc84234389"/>
      <w:bookmarkStart w:id="51" w:name="_Toc84234436"/>
      <w:bookmarkStart w:id="52" w:name="_Toc86726441"/>
      <w:bookmarkStart w:id="53" w:name="_Toc118972650"/>
      <w:bookmarkStart w:id="54" w:name="_Toc124325890"/>
      <w:bookmarkStart w:id="55" w:name="_Toc118774805"/>
      <w:bookmarkStart w:id="56" w:name="_Toc119402712"/>
      <w:bookmarkStart w:id="57" w:name="_Toc120435785"/>
      <w:bookmarkStart w:id="58" w:name="_Toc118212952"/>
      <w:bookmarkStart w:id="59" w:name="_Toc86737931"/>
      <w:bookmarkStart w:id="60" w:name="_Toc110761798"/>
      <w:bookmarkStart w:id="61" w:name="_Toc86649724"/>
      <w:bookmarkStart w:id="62" w:name="_Toc86204790"/>
      <w:bookmarkStart w:id="63" w:name="_Toc110765662"/>
      <w:bookmarkStart w:id="64" w:name="_Toc89163370"/>
      <w:r w:rsidRPr="00960C25">
        <w:rPr>
          <w:rFonts w:asciiTheme="minorEastAsia" w:eastAsiaTheme="minorEastAsia" w:hAnsiTheme="minorEastAsia" w:hint="eastAsia"/>
          <w:sz w:val="24"/>
          <w:szCs w:val="24"/>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04F53A2"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14:paraId="0E48466C"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（一）基金管理人对发送指令人员的书面授权</w:t>
      </w:r>
    </w:p>
    <w:p w14:paraId="05C2452D"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1.基金管理人应指定专人向基金托管人发送指令。</w:t>
      </w:r>
    </w:p>
    <w:p w14:paraId="08E47BB5"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2.基金管理人应向基金托管人提供书面授权文件，内容包括被授权人名单、预留印鉴及被授权人签字样本，授权文件应注明被授权人相应的权限。</w:t>
      </w:r>
    </w:p>
    <w:p w14:paraId="406A969C"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420BFEE"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4.基金管理人和基金托管人对授权文件负有保密义务，其内容不得向被授权人及相关操作人员以外的任何人泄露。但法律法规规定或有权机关要求的除外。</w:t>
      </w:r>
    </w:p>
    <w:p w14:paraId="076FDE76"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（二）指令的内容</w:t>
      </w:r>
    </w:p>
    <w:p w14:paraId="69B615E7"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1.指令包括付款指令以及其他资金划拨指令等。</w:t>
      </w:r>
    </w:p>
    <w:p w14:paraId="0973323C"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2.基金管理人发给基金托管人的指令应写明款项事由、支付时间、到账时间、金额、账户等，加盖预留印鉴并由被授权人签字。</w:t>
      </w:r>
    </w:p>
    <w:p w14:paraId="235AF02E"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（三）指令的发送、确认及执行的时间和程序</w:t>
      </w:r>
    </w:p>
    <w:p w14:paraId="72BCDA04"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1.指令的发送</w:t>
      </w:r>
    </w:p>
    <w:p w14:paraId="5204CC54"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基金管理人发送指令应采用加密传真方式或双方协商一致的其他方式。</w:t>
      </w:r>
    </w:p>
    <w:p w14:paraId="1D1F9C8B"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0C534CB"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指令发出后，基金管理人应及时以电话方式向基金托管人确认。</w:t>
      </w:r>
    </w:p>
    <w:p w14:paraId="088747B6"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hint="eastAsia"/>
          <w:sz w:val="24"/>
        </w:rPr>
        <w:t>基金管理人应在银行间交易成交后，及时将通知单、相关文件及划款指令加盖预留印章后发至基金托管人并电话确认，由基金托管人完成后台交易匹配及资</w:t>
      </w:r>
      <w:r w:rsidRPr="00960C25">
        <w:rPr>
          <w:rFonts w:asciiTheme="minorEastAsia" w:eastAsiaTheme="minorEastAsia" w:hAnsiTheme="minorEastAsia" w:hint="eastAsia"/>
          <w:sz w:val="24"/>
        </w:rPr>
        <w:lastRenderedPageBreak/>
        <w:t>金交收事宜。如果银行间结算系统已经生成的交易需要取消或终止，基金管理人要书面通知基金托管人。</w:t>
      </w:r>
    </w:p>
    <w:p w14:paraId="48D6BD2D"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2.指令的确认</w:t>
      </w:r>
    </w:p>
    <w:p w14:paraId="712439B1"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15C62D0B"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3.指令的时间和执行</w:t>
      </w:r>
    </w:p>
    <w:p w14:paraId="6EBACEA4" w14:textId="77777777" w:rsidR="00B07A76" w:rsidRPr="00960C25" w:rsidRDefault="005916C4" w:rsidP="00960C25">
      <w:pPr>
        <w:pStyle w:val="a6"/>
        <w:spacing w:line="360" w:lineRule="auto"/>
        <w:ind w:firstLineChars="0"/>
        <w:rPr>
          <w:rFonts w:asciiTheme="minorEastAsia" w:eastAsiaTheme="minorEastAsia" w:hAnsiTheme="minorEastAsia" w:cs="Arial"/>
          <w:szCs w:val="24"/>
          <w:shd w:val="pct10" w:color="auto" w:fill="FFFFFF"/>
        </w:rPr>
      </w:pPr>
      <w:r w:rsidRPr="00960C25">
        <w:rPr>
          <w:rFonts w:asciiTheme="minorEastAsia" w:eastAsiaTheme="minorEastAsia" w:hAnsiTheme="minorEastAsia" w:cs="Arial" w:hint="eastAsia"/>
          <w:szCs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且相关付款条件已经具备。基金托管人将视付款条件具备时为指令送达时间。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基金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0F966D01" w14:textId="77777777" w:rsidR="00B07A76" w:rsidRPr="00960C25" w:rsidRDefault="005916C4" w:rsidP="00960C25">
      <w:pPr>
        <w:pStyle w:val="a6"/>
        <w:spacing w:line="360" w:lineRule="auto"/>
        <w:ind w:firstLineChars="0"/>
        <w:rPr>
          <w:rFonts w:asciiTheme="minorEastAsia" w:eastAsiaTheme="minorEastAsia" w:hAnsiTheme="minorEastAsia" w:cs="Arial"/>
          <w:szCs w:val="24"/>
        </w:rPr>
      </w:pPr>
      <w:r w:rsidRPr="00960C25">
        <w:rPr>
          <w:rFonts w:asciiTheme="minorEastAsia" w:eastAsiaTheme="minorEastAsia" w:hAnsiTheme="minorEastAsia" w:cs="Arial" w:hint="eastAsia"/>
          <w:szCs w:val="24"/>
        </w:rPr>
        <w:t>（四）基金管理人发送错误指令的情形和处理程序</w:t>
      </w:r>
    </w:p>
    <w:p w14:paraId="18E089E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基金管理人发送错误指令的情形包括指令违反法律法规和《基金合同》，指令发送人员无权或超越权限发送指令。</w:t>
      </w:r>
    </w:p>
    <w:p w14:paraId="7917CBF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基金托管人在履行监督职能时，发现基金管理人的指令错误时，有权拒绝执行，并及时通知基金管理人改正。如需撤销指令，基金管理人应出具书面说明，并加盖业务用章。</w:t>
      </w:r>
    </w:p>
    <w:p w14:paraId="20F7D90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（五）基金托管人依照法律法规暂缓、拒绝执行指令的情形和处理程序</w:t>
      </w:r>
    </w:p>
    <w:p w14:paraId="5F4CF053"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若基金托管人发现基金管理人的指令违反法律法规，或者违反《基金合同》</w:t>
      </w:r>
      <w:r w:rsidRPr="00960C25">
        <w:rPr>
          <w:rFonts w:asciiTheme="minorEastAsia" w:eastAsiaTheme="minorEastAsia" w:hAnsiTheme="minorEastAsia" w:cs="Arial" w:hint="eastAsia"/>
          <w:sz w:val="24"/>
        </w:rPr>
        <w:lastRenderedPageBreak/>
        <w:t>约定的，应当拒绝执行，立即通知基金管理人。</w:t>
      </w:r>
    </w:p>
    <w:p w14:paraId="25AC8EC0"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（六）基金托管人未按照基金管理人指令执行的处理方法</w:t>
      </w:r>
    </w:p>
    <w:p w14:paraId="67ED131F"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基金托管人由于过错，未按照基金管理人发送的指令执行并对基金财产或投资人造成的直接损失，由基金托管人</w:t>
      </w:r>
      <w:r w:rsidRPr="00960C25">
        <w:rPr>
          <w:rFonts w:asciiTheme="minorEastAsia" w:eastAsiaTheme="minorEastAsia" w:hAnsiTheme="minorEastAsia" w:hint="eastAsia"/>
          <w:sz w:val="24"/>
        </w:rPr>
        <w:t>赔偿由此造成的直接损失。</w:t>
      </w:r>
    </w:p>
    <w:p w14:paraId="0D036F05"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（七）更换被授权人的程序</w:t>
      </w:r>
    </w:p>
    <w:p w14:paraId="57C6D5BA"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960C25">
        <w:rPr>
          <w:rFonts w:asciiTheme="minorEastAsia" w:eastAsiaTheme="minorEastAsia" w:hAnsiTheme="minorEastAsia" w:hint="eastAsia"/>
          <w:sz w:val="24"/>
        </w:rPr>
        <w:t>。</w:t>
      </w:r>
      <w:r w:rsidRPr="00960C25">
        <w:rPr>
          <w:rFonts w:asciiTheme="minorEastAsia" w:eastAsiaTheme="minorEastAsia" w:hAnsiTheme="minorEastAsia" w:cs="Arial" w:hint="eastAsia"/>
          <w:sz w:val="24"/>
        </w:rPr>
        <w:t>基金托管人更换接收基金管理人指令的人员，应提前通过录音电话通知基金管理人。</w:t>
      </w:r>
    </w:p>
    <w:p w14:paraId="02022248"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（八）其他事项</w:t>
      </w:r>
    </w:p>
    <w:p w14:paraId="26E9D23D"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3333CD6"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FB1C3F3" w14:textId="77777777" w:rsidR="00B07A76" w:rsidRPr="00960C25" w:rsidRDefault="00B07A76" w:rsidP="00960C25">
      <w:pPr>
        <w:adjustRightInd w:val="0"/>
        <w:snapToGrid w:val="0"/>
        <w:spacing w:line="360" w:lineRule="auto"/>
        <w:rPr>
          <w:rFonts w:asciiTheme="minorEastAsia" w:eastAsiaTheme="minorEastAsia" w:hAnsiTheme="minorEastAsia" w:cs="Arial"/>
          <w:sz w:val="24"/>
        </w:rPr>
      </w:pPr>
    </w:p>
    <w:p w14:paraId="31B6EB77"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65" w:name="_Toc110765663"/>
      <w:bookmarkStart w:id="66" w:name="_Toc86737932"/>
      <w:bookmarkStart w:id="67" w:name="_Toc84133788"/>
      <w:bookmarkStart w:id="68" w:name="_Toc89163371"/>
      <w:bookmarkStart w:id="69" w:name="_Toc84234390"/>
      <w:bookmarkStart w:id="70" w:name="_Toc108512361"/>
      <w:bookmarkStart w:id="71" w:name="_Toc86726442"/>
      <w:bookmarkStart w:id="72" w:name="_Toc86225294"/>
      <w:bookmarkStart w:id="73" w:name="_Toc86223245"/>
      <w:bookmarkStart w:id="74" w:name="_Toc120435786"/>
      <w:bookmarkStart w:id="75" w:name="_Toc124325891"/>
      <w:bookmarkStart w:id="76" w:name="_Toc118212953"/>
      <w:bookmarkStart w:id="77" w:name="_Toc118774806"/>
      <w:bookmarkStart w:id="78" w:name="_Toc86204791"/>
      <w:bookmarkStart w:id="79" w:name="_Toc110830495"/>
      <w:bookmarkStart w:id="80" w:name="_Toc110761799"/>
      <w:bookmarkStart w:id="81" w:name="_Toc118972651"/>
      <w:bookmarkStart w:id="82" w:name="_Toc119402713"/>
      <w:bookmarkStart w:id="83" w:name="_Toc86649725"/>
      <w:bookmarkStart w:id="84" w:name="_Toc86727358"/>
      <w:bookmarkStart w:id="85" w:name="_Toc84234437"/>
      <w:r w:rsidRPr="00960C25">
        <w:rPr>
          <w:rFonts w:asciiTheme="minorEastAsia" w:eastAsiaTheme="minorEastAsia" w:hAnsiTheme="minorEastAsia" w:hint="eastAsia"/>
          <w:sz w:val="24"/>
          <w:szCs w:val="24"/>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173F1D2"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（一）选择证券</w:t>
      </w:r>
      <w:r w:rsidRPr="00960C25">
        <w:rPr>
          <w:rFonts w:asciiTheme="minorEastAsia" w:eastAsiaTheme="minorEastAsia" w:hAnsiTheme="minorEastAsia" w:hint="eastAsia"/>
          <w:kern w:val="0"/>
          <w:sz w:val="24"/>
        </w:rPr>
        <w:t>、期货</w:t>
      </w:r>
      <w:r w:rsidRPr="00960C25">
        <w:rPr>
          <w:rFonts w:asciiTheme="minorEastAsia" w:eastAsiaTheme="minorEastAsia" w:hAnsiTheme="minorEastAsia" w:cs="Arial" w:hint="eastAsia"/>
          <w:sz w:val="24"/>
        </w:rPr>
        <w:t>买卖的证券经营</w:t>
      </w:r>
      <w:r w:rsidRPr="00960C25">
        <w:rPr>
          <w:rFonts w:asciiTheme="minorEastAsia" w:eastAsiaTheme="minorEastAsia" w:hAnsiTheme="minorEastAsia" w:hint="eastAsia"/>
          <w:kern w:val="0"/>
          <w:sz w:val="24"/>
        </w:rPr>
        <w:t>机构、期货经纪</w:t>
      </w:r>
      <w:r w:rsidRPr="00960C25">
        <w:rPr>
          <w:rFonts w:asciiTheme="minorEastAsia" w:eastAsiaTheme="minorEastAsia" w:hAnsiTheme="minorEastAsia" w:cs="Arial" w:hint="eastAsia"/>
          <w:sz w:val="24"/>
        </w:rPr>
        <w:t>机构</w:t>
      </w:r>
    </w:p>
    <w:p w14:paraId="6810EAF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6C12F23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iCs/>
          <w:sz w:val="24"/>
        </w:rPr>
      </w:pPr>
      <w:r w:rsidRPr="00960C25">
        <w:rPr>
          <w:rFonts w:asciiTheme="minorEastAsia" w:eastAsiaTheme="minorEastAsia" w:hAnsiTheme="minorEastAsia" w:cs="Arial" w:hint="eastAsia"/>
          <w:sz w:val="24"/>
        </w:rPr>
        <w:t>基金管理人负责选择代理本基金期货交易的期货经纪机构，并与其签订期货</w:t>
      </w:r>
      <w:r w:rsidRPr="00960C25">
        <w:rPr>
          <w:rFonts w:asciiTheme="minorEastAsia" w:eastAsiaTheme="minorEastAsia" w:hAnsiTheme="minorEastAsia" w:cs="Arial" w:hint="eastAsia"/>
          <w:sz w:val="24"/>
        </w:rPr>
        <w:lastRenderedPageBreak/>
        <w:t>经纪合同，其他事宜根据法律法规、《基金合同》的相关规定执行，若无明确规定的，可参照有关证券买卖、证券经纪机构选择的规则执行。</w:t>
      </w:r>
      <w:r w:rsidRPr="00960C25">
        <w:rPr>
          <w:rFonts w:asciiTheme="minorEastAsia" w:eastAsiaTheme="minorEastAsia" w:hAnsiTheme="minorEastAsia" w:hint="eastAsia"/>
          <w:iCs/>
          <w:sz w:val="24"/>
        </w:rPr>
        <w:t>本基金在开始进行期货投资之前，应与基金托管人、期货公司三方一同就期货开户、清算、估值、交收等事宜另行签署《期货投资托管操作三方备忘录》。</w:t>
      </w:r>
    </w:p>
    <w:p w14:paraId="0A1FDF5C"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3FA877AA" w14:textId="77777777" w:rsidR="00B07A76" w:rsidRPr="00960C25" w:rsidRDefault="00B07A76" w:rsidP="00960C25">
      <w:pPr>
        <w:adjustRightInd w:val="0"/>
        <w:snapToGrid w:val="0"/>
        <w:spacing w:line="360" w:lineRule="auto"/>
        <w:ind w:firstLineChars="200" w:firstLine="480"/>
        <w:rPr>
          <w:rFonts w:asciiTheme="minorEastAsia" w:eastAsiaTheme="minorEastAsia" w:hAnsiTheme="minorEastAsia" w:cs="Arial"/>
          <w:sz w:val="24"/>
        </w:rPr>
      </w:pPr>
    </w:p>
    <w:p w14:paraId="3D038B13"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（二）基金投资证券后的清算交收安排</w:t>
      </w:r>
    </w:p>
    <w:p w14:paraId="4BFB3B55"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1.清算与交割</w:t>
      </w:r>
    </w:p>
    <w:p w14:paraId="00200725" w14:textId="77777777" w:rsidR="00B07A76" w:rsidRPr="00960C25" w:rsidRDefault="005916C4" w:rsidP="00960C25">
      <w:pPr>
        <w:adjustRightInd w:val="0"/>
        <w:snapToGrid w:val="0"/>
        <w:spacing w:line="360" w:lineRule="auto"/>
        <w:ind w:firstLine="480"/>
        <w:rPr>
          <w:rFonts w:asciiTheme="minorEastAsia" w:eastAsiaTheme="minorEastAsia" w:hAnsiTheme="minorEastAsia"/>
          <w:sz w:val="24"/>
        </w:rPr>
      </w:pPr>
      <w:r w:rsidRPr="00960C25">
        <w:rPr>
          <w:rFonts w:asciiTheme="minorEastAsia" w:eastAsiaTheme="minorEastAsia" w:hAnsiTheme="minorEastAsia" w:hint="eastAsia"/>
          <w:sz w:val="24"/>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14:paraId="1EB3BE45"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70971A6E"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FDDE518" w14:textId="30E2F334"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r w:rsidRPr="00960C25">
        <w:rPr>
          <w:rFonts w:asciiTheme="minorEastAsia" w:eastAsiaTheme="minorEastAsia" w:hAnsiTheme="minorEastAsia" w:cs="Arial" w:hint="eastAsia"/>
          <w:sz w:val="24"/>
        </w:rPr>
        <w:lastRenderedPageBreak/>
        <w:t>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2EAAC2BB" w14:textId="77777777" w:rsidR="00B07A76" w:rsidRPr="00960C25" w:rsidRDefault="005916C4" w:rsidP="00960C25">
      <w:pPr>
        <w:adjustRightInd w:val="0"/>
        <w:snapToGrid w:val="0"/>
        <w:spacing w:line="360" w:lineRule="auto"/>
        <w:ind w:firstLine="480"/>
        <w:rPr>
          <w:rFonts w:asciiTheme="minorEastAsia" w:eastAsiaTheme="minorEastAsia" w:hAnsiTheme="minorEastAsia" w:cs="宋体"/>
          <w:color w:val="000000"/>
          <w:kern w:val="0"/>
          <w:sz w:val="24"/>
        </w:rPr>
      </w:pPr>
      <w:r w:rsidRPr="00960C25">
        <w:rPr>
          <w:rFonts w:asciiTheme="minorEastAsia" w:eastAsiaTheme="minorEastAsia" w:hAnsiTheme="minorEastAsia" w:cs="宋体" w:hint="eastAsia"/>
          <w:color w:val="000000"/>
          <w:kern w:val="0"/>
          <w:sz w:val="24"/>
        </w:rPr>
        <w:t>基金管理人应采取合理、必要措施，确保T日日终有足够的资金头寸完成 T+1日</w:t>
      </w:r>
      <w:r w:rsidRPr="00960C25">
        <w:rPr>
          <w:rFonts w:asciiTheme="minorEastAsia" w:eastAsiaTheme="minorEastAsia" w:hAnsiTheme="minorEastAsia" w:hint="eastAsia"/>
          <w:sz w:val="24"/>
        </w:rPr>
        <w:t>中国证券登记结算有限责任公司的资金</w:t>
      </w:r>
      <w:r w:rsidRPr="00960C25">
        <w:rPr>
          <w:rFonts w:asciiTheme="minorEastAsia" w:eastAsiaTheme="minorEastAsia" w:hAnsiTheme="minorEastAsia"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7FD40E5"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9AF7D89"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实行场内T+0交收的资金清算按照基金托管人的相关规定流程执行。</w:t>
      </w:r>
    </w:p>
    <w:p w14:paraId="5C6FE3A2"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2.交易记录、资金和证券账目核对的时间和方式</w:t>
      </w:r>
    </w:p>
    <w:p w14:paraId="4B7CA939"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（1）交易记录的核对</w:t>
      </w:r>
    </w:p>
    <w:p w14:paraId="0874D4B7" w14:textId="0D98E849"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CC2C980"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（2）资金账目的核对</w:t>
      </w:r>
    </w:p>
    <w:p w14:paraId="57B9398C"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资金账目按日核实。</w:t>
      </w:r>
    </w:p>
    <w:p w14:paraId="77E1880C"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（3）证券账目的核对</w:t>
      </w:r>
    </w:p>
    <w:p w14:paraId="222D2C8C" w14:textId="1FCCAABB"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基金管理人和基金托管人每交易日结束后核对基金证券账目，确保双方账目相符。基金管理人和基金托管人每月月末最后一个交易日核对实物证券账目。</w:t>
      </w:r>
    </w:p>
    <w:p w14:paraId="7B22DFA2" w14:textId="77777777" w:rsidR="00B07A76" w:rsidRPr="00960C25" w:rsidRDefault="005916C4" w:rsidP="00960C25">
      <w:pPr>
        <w:adjustRightInd w:val="0"/>
        <w:snapToGrid w:val="0"/>
        <w:spacing w:line="360" w:lineRule="auto"/>
        <w:ind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（三）基金申购和赎回业务处理的基本规定</w:t>
      </w:r>
    </w:p>
    <w:p w14:paraId="03EA3CB8"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1.基金份额申购、赎回的确认、清算由基金管理人或其委托的登记机构负责。</w:t>
      </w:r>
    </w:p>
    <w:p w14:paraId="4C2823DA"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2.基金管理人应将每个开放日的申购、赎回、转换开放式基金的数据传送给</w:t>
      </w:r>
      <w:r w:rsidRPr="00960C25">
        <w:rPr>
          <w:rFonts w:asciiTheme="minorEastAsia" w:eastAsiaTheme="minorEastAsia" w:hAnsiTheme="minorEastAsia" w:cs="Arial" w:hint="eastAsia"/>
          <w:sz w:val="24"/>
        </w:rPr>
        <w:lastRenderedPageBreak/>
        <w:t>基金托管人。基金管理人应对传递的申购、赎回、转换开放式基金的数据真实性负责。基金托管人应及时查收申购及转入资金的到账情况并根据基金管理人指令及时划付赎回及转出款项。</w:t>
      </w:r>
    </w:p>
    <w:p w14:paraId="3AF44733"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3.基金管理人应保证本基金（或本基金管理人委托）的登记机构每个工作日15:00前向基金托管人发送前一开放日上述有关数据，并保证相关数据的准确、完整。</w:t>
      </w:r>
    </w:p>
    <w:p w14:paraId="485C43AC"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69CF6A7"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5.如基金管理人委托其他机构办理本基金的注册登记业务，应保证上述相关事宜按时进行。否则，由基金管理人承担相应的责任。</w:t>
      </w:r>
    </w:p>
    <w:p w14:paraId="1EAF1DFE"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6.关于清算专用账户的设立和管理</w:t>
      </w:r>
    </w:p>
    <w:p w14:paraId="3F1E4B07"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为满足申购、赎回及分红资金汇划的需要，由基金管理人开立资金清算的专用账户，该账户由登记机构管理。</w:t>
      </w:r>
    </w:p>
    <w:p w14:paraId="08311666"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E350C23"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8.赎回和分红资金划拨规定</w:t>
      </w:r>
    </w:p>
    <w:p w14:paraId="341F86B0"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87EDDF6"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9.资金指令</w:t>
      </w:r>
    </w:p>
    <w:p w14:paraId="7615FFE7"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除申购款项到达基金资金账户需双方按约定方式对账外，回购到期付款和与投资有关的付款、赎回和分红资金划拨时，基金管理人需向基金托管人下达指令。</w:t>
      </w:r>
    </w:p>
    <w:p w14:paraId="45074371"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资金指令的格式、内容、发送、接收和确认方式等与投资指令相同。</w:t>
      </w:r>
    </w:p>
    <w:p w14:paraId="42B33013"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（四）申赎净额结算</w:t>
      </w:r>
    </w:p>
    <w:p w14:paraId="6F482390"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基金托管账户与“基金清算账户”间的资金结算遵循“全额清算、净额交收”</w:t>
      </w:r>
      <w:r w:rsidRPr="00960C25">
        <w:rPr>
          <w:rFonts w:asciiTheme="minorEastAsia" w:eastAsiaTheme="minorEastAsia" w:hAnsiTheme="minorEastAsia" w:cs="Arial" w:hint="eastAsia"/>
          <w:sz w:val="24"/>
        </w:rPr>
        <w:lastRenderedPageBreak/>
        <w:t>的原则，每日(T日：资金交收日，下同)按照托管账户应收资金(T-2日申购申请对应申购金额与T-</w:t>
      </w:r>
      <w:r w:rsidRPr="00960C25">
        <w:rPr>
          <w:rFonts w:asciiTheme="minorEastAsia" w:eastAsiaTheme="minorEastAsia" w:hAnsiTheme="minorEastAsia" w:cs="Arial"/>
          <w:sz w:val="24"/>
        </w:rPr>
        <w:t>2</w:t>
      </w:r>
      <w:r w:rsidRPr="00960C25">
        <w:rPr>
          <w:rFonts w:asciiTheme="minorEastAsia" w:eastAsiaTheme="minorEastAsia" w:hAnsiTheme="minorEastAsia" w:cs="Arial" w:hint="eastAsia"/>
          <w:sz w:val="24"/>
        </w:rPr>
        <w:t>日基金转换入申请对应金额之和)与应付资金(T-</w:t>
      </w:r>
      <w:r w:rsidRPr="00960C25">
        <w:rPr>
          <w:rFonts w:asciiTheme="minorEastAsia" w:eastAsiaTheme="minorEastAsia" w:hAnsiTheme="minorEastAsia" w:cs="Arial"/>
          <w:sz w:val="24"/>
        </w:rPr>
        <w:t>2</w:t>
      </w:r>
      <w:r w:rsidRPr="00960C25">
        <w:rPr>
          <w:rFonts w:asciiTheme="minorEastAsia" w:eastAsiaTheme="minorEastAsia" w:hAnsiTheme="minorEastAsia" w:cs="Arial" w:hint="eastAsia"/>
          <w:sz w:val="24"/>
        </w:rPr>
        <w:t>日赎回申请对应赎回金额与T-</w:t>
      </w:r>
      <w:r w:rsidRPr="00960C25">
        <w:rPr>
          <w:rFonts w:asciiTheme="minorEastAsia" w:eastAsiaTheme="minorEastAsia" w:hAnsiTheme="minorEastAsia" w:cs="Arial"/>
          <w:sz w:val="24"/>
        </w:rPr>
        <w:t>2</w:t>
      </w:r>
      <w:r w:rsidRPr="00960C25">
        <w:rPr>
          <w:rFonts w:asciiTheme="minorEastAsia" w:eastAsiaTheme="minorEastAsia" w:hAnsiTheme="minorEastAsia" w:cs="Arial" w:hint="eastAsia"/>
          <w:sz w:val="24"/>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3D894346" w14:textId="77777777" w:rsidR="00B07A76" w:rsidRPr="00960C25" w:rsidRDefault="005916C4" w:rsidP="00960C25">
      <w:pPr>
        <w:adjustRightInd w:val="0"/>
        <w:snapToGrid w:val="0"/>
        <w:spacing w:line="360" w:lineRule="auto"/>
        <w:ind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（五）基金转换</w:t>
      </w:r>
    </w:p>
    <w:p w14:paraId="55E6A6ED"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1.在本基金与基金管理人管理的其它基金开展转换业务之前，基金管理人应函告基金托管人并就相关事宜进行协商。</w:t>
      </w:r>
    </w:p>
    <w:p w14:paraId="0C9EAB6A" w14:textId="77777777" w:rsidR="00B07A76" w:rsidRPr="00960C25" w:rsidRDefault="005916C4" w:rsidP="00960C25">
      <w:pPr>
        <w:adjustRightInd w:val="0"/>
        <w:snapToGrid w:val="0"/>
        <w:spacing w:line="360" w:lineRule="auto"/>
        <w:ind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2.基金托管人将根据基金管理人传送的基金转换数据进行账务处理，具体资金清算和数据传递的时间、程序及托管协议当事人承担的权责按基金管理人届时的公告执行。</w:t>
      </w:r>
    </w:p>
    <w:p w14:paraId="3E22C8C4" w14:textId="77777777" w:rsidR="00B07A76" w:rsidRPr="00960C25" w:rsidRDefault="005916C4" w:rsidP="00960C25">
      <w:pPr>
        <w:adjustRightInd w:val="0"/>
        <w:snapToGrid w:val="0"/>
        <w:spacing w:line="360" w:lineRule="auto"/>
        <w:ind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3.本基金开展基金转换业务应按相关法律法规规定及《基金合同》的约定进行公告。</w:t>
      </w:r>
    </w:p>
    <w:p w14:paraId="577CD713" w14:textId="77777777" w:rsidR="00B07A76" w:rsidRPr="00960C25" w:rsidRDefault="005916C4" w:rsidP="00960C25">
      <w:pPr>
        <w:adjustRightInd w:val="0"/>
        <w:snapToGrid w:val="0"/>
        <w:spacing w:line="360" w:lineRule="auto"/>
        <w:ind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（六）基金现金分红</w:t>
      </w:r>
    </w:p>
    <w:p w14:paraId="6B53E5D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1.基金管理人确定分红方案通知基金托管人，双方核定后</w:t>
      </w:r>
      <w:r w:rsidRPr="00960C25">
        <w:rPr>
          <w:rFonts w:asciiTheme="minorEastAsia" w:eastAsiaTheme="minorEastAsia" w:hAnsiTheme="minorEastAsia" w:hint="eastAsia"/>
          <w:sz w:val="24"/>
        </w:rPr>
        <w:t>依照《信息披露办法》的有关规定在中国证监会规定媒介上公告</w:t>
      </w:r>
      <w:r w:rsidRPr="00960C25">
        <w:rPr>
          <w:rFonts w:asciiTheme="minorEastAsia" w:eastAsiaTheme="minorEastAsia" w:hAnsiTheme="minorEastAsia" w:cs="Arial" w:hint="eastAsia"/>
          <w:sz w:val="24"/>
        </w:rPr>
        <w:t>。</w:t>
      </w:r>
    </w:p>
    <w:p w14:paraId="0CA65A0E"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2.基金托管人和基金管理人对基金分红进行账务处理并核对后，基金管理人向基金托管人发送现金红利的划款指令，基金托管人应及时将资金划入专用账户。</w:t>
      </w:r>
    </w:p>
    <w:p w14:paraId="64D98DD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3.基金管理人在下达指令时，应给基金托管人留出必需的划款时间。</w:t>
      </w:r>
    </w:p>
    <w:p w14:paraId="0923919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（七）投资银行存款的特别约定</w:t>
      </w:r>
    </w:p>
    <w:p w14:paraId="34959DA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1.本基金投资银行存款前，基金管理人应与存款银行签订具体存款协议，包括但不限于以下内容：</w:t>
      </w:r>
    </w:p>
    <w:p w14:paraId="6ACD1DC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（1）存款账户必须以本基金名义开立,并将基金托管人为本基金开立的基金银行账户指定为唯一回款账户，任何情况下，存款银行都不得将存款投资本息划往任何其他账户。</w:t>
      </w:r>
    </w:p>
    <w:p w14:paraId="59FC318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（2）存款银行不得接受基金管理人或基金托管人任何一方单方面提出的对存款进行更名、转让、挂失、质押、担保、撤销、变更印鉴及回款账户信息等可能导致财产转移的操作申请。</w:t>
      </w:r>
    </w:p>
    <w:p w14:paraId="3B05314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lastRenderedPageBreak/>
        <w:t>（3）约定存款证实书的具体传递交接方式及交接期限。</w:t>
      </w:r>
    </w:p>
    <w:p w14:paraId="514163B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（4）资金划转过程中需要使用存款银行过渡账户的，存款银行须保证资金在过渡账户中不出现滞留，不被挪用。</w:t>
      </w:r>
    </w:p>
    <w:p w14:paraId="549A356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3B004BF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156E695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账户的，以及因发生特殊情况由管理人提供相关书面说明并重新承诺送单截止时间的，可剔除不计。</w:t>
      </w:r>
    </w:p>
    <w:p w14:paraId="47CC140F" w14:textId="77777777" w:rsidR="00B07A76" w:rsidRPr="00960C25" w:rsidRDefault="00B07A76" w:rsidP="00960C25">
      <w:pPr>
        <w:adjustRightInd w:val="0"/>
        <w:snapToGrid w:val="0"/>
        <w:spacing w:line="360" w:lineRule="auto"/>
        <w:ind w:firstLineChars="200" w:firstLine="480"/>
        <w:rPr>
          <w:rFonts w:asciiTheme="minorEastAsia" w:eastAsiaTheme="minorEastAsia" w:hAnsiTheme="minorEastAsia" w:cs="Arial"/>
          <w:sz w:val="24"/>
        </w:rPr>
      </w:pPr>
    </w:p>
    <w:p w14:paraId="7B2A5B09"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86" w:name="_Toc124325892"/>
      <w:r w:rsidRPr="00960C25">
        <w:rPr>
          <w:rFonts w:asciiTheme="minorEastAsia" w:eastAsiaTheme="minorEastAsia" w:hAnsiTheme="minorEastAsia" w:hint="eastAsia"/>
          <w:sz w:val="24"/>
          <w:szCs w:val="24"/>
        </w:rPr>
        <w:t>八、基金资产净值计算和会计核算</w:t>
      </w:r>
      <w:bookmarkEnd w:id="86"/>
    </w:p>
    <w:p w14:paraId="22F37570"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（一）基金资产净值的计算、复核与完成的时间及程序</w:t>
      </w:r>
    </w:p>
    <w:p w14:paraId="70ED054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1.基金资产净值是指基金资产总值减去负债后的金额。基金份额的基金份额净值是按照每个工作日闭市后，基金资产净值除以当日基金份额的余额数量计算，精确到0.00</w:t>
      </w:r>
      <w:r w:rsidRPr="00960C25">
        <w:rPr>
          <w:rFonts w:asciiTheme="minorEastAsia" w:eastAsiaTheme="minorEastAsia" w:hAnsiTheme="minorEastAsia" w:cs="Arial"/>
          <w:sz w:val="24"/>
        </w:rPr>
        <w:t>0</w:t>
      </w:r>
      <w:r w:rsidRPr="00960C25">
        <w:rPr>
          <w:rFonts w:asciiTheme="minorEastAsia" w:eastAsiaTheme="minorEastAsia" w:hAnsiTheme="minorEastAsia" w:cs="Arial" w:hint="eastAsia"/>
          <w:sz w:val="24"/>
        </w:rPr>
        <w:t>1元，小数点后第</w:t>
      </w:r>
      <w:r w:rsidRPr="00960C25">
        <w:rPr>
          <w:rFonts w:asciiTheme="minorEastAsia" w:eastAsiaTheme="minorEastAsia" w:hAnsiTheme="minorEastAsia" w:cs="Arial"/>
          <w:sz w:val="24"/>
        </w:rPr>
        <w:t>五</w:t>
      </w:r>
      <w:r w:rsidRPr="00960C25">
        <w:rPr>
          <w:rFonts w:asciiTheme="minorEastAsia" w:eastAsiaTheme="minorEastAsia" w:hAnsiTheme="minorEastAsia" w:cs="Arial" w:hint="eastAsia"/>
          <w:sz w:val="24"/>
        </w:rPr>
        <w:t>位四舍五入。基金管理人可以设立大额赎回情形</w:t>
      </w:r>
      <w:r w:rsidRPr="00960C25">
        <w:rPr>
          <w:rFonts w:asciiTheme="minorEastAsia" w:eastAsiaTheme="minorEastAsia" w:hAnsiTheme="minorEastAsia" w:cs="Arial" w:hint="eastAsia"/>
          <w:sz w:val="24"/>
        </w:rPr>
        <w:lastRenderedPageBreak/>
        <w:t>下的净值精度应急调整机制。国家另有规定的，从其规定。</w:t>
      </w:r>
    </w:p>
    <w:p w14:paraId="4FEF77F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基金管理人于每个工作日计算基金资产净值及基金份额净值，并按规定公告。</w:t>
      </w:r>
    </w:p>
    <w:p w14:paraId="30DA013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14:paraId="366C931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当本基金发生大额申购或赎回情况时，经与基金托管人协商一致，基金管理人可以对本基金采用摆动定价机制，以确保基金估值的公平性，并依照《信息披露办法》的有关规定，将摆动定价机制的具体操作规则在规定媒介上公告。如法律法规或行业协会今后另有规定的，从其规定。</w:t>
      </w:r>
    </w:p>
    <w:p w14:paraId="7E52939E" w14:textId="77777777" w:rsidR="00B07A76" w:rsidRPr="00960C25" w:rsidRDefault="005916C4" w:rsidP="00960C25">
      <w:pPr>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（二）基金资产估值方法和特殊情形的处理</w:t>
      </w:r>
    </w:p>
    <w:p w14:paraId="40F6073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1.估值对象</w:t>
      </w:r>
    </w:p>
    <w:p w14:paraId="397EA0C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基金所拥有的股票、债券和银行存款本息、应收款项、股指期货合约、国债期货合约、股票期权合约、其它投资等资产及负债。</w:t>
      </w:r>
    </w:p>
    <w:p w14:paraId="49EA615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2.估值方法</w:t>
      </w:r>
    </w:p>
    <w:p w14:paraId="3FA5DE5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本基金所持有的投资品种，按如下原则进行估值 ：</w:t>
      </w:r>
    </w:p>
    <w:p w14:paraId="594E7F5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（1）证券交易所上市的有价证券的估值</w:t>
      </w:r>
    </w:p>
    <w:p w14:paraId="3379575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117CFA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2）交易所上市交易或挂牌转让的不含权固定收益品种，选取估值日第三方估值机构提供的相应品种当日的估值净价进行估值；</w:t>
      </w:r>
    </w:p>
    <w:p w14:paraId="19857AC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3）交易所上市交易或挂牌转让的含权固定收益品种，选取估值日第三方估值机构提供的相应品种当日的唯一估值净价或推荐估值净价进行估值；</w:t>
      </w:r>
    </w:p>
    <w:p w14:paraId="30C4FB7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4）交易所上市交易的可转换债券以每日收盘价作为估值全价；</w:t>
      </w:r>
    </w:p>
    <w:p w14:paraId="0FEFDAC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5）交易所上市不存在活跃市场的有价证券，采用估值技术确定公允价值。交易所市场挂牌转让的资产支持证券，采用估值技术确定公允价值；</w:t>
      </w:r>
    </w:p>
    <w:p w14:paraId="7FA8AFE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lastRenderedPageBreak/>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570FFD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（2）处于未上市期间的有价证券应区分如下情况处理：</w:t>
      </w:r>
    </w:p>
    <w:p w14:paraId="5B12D91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1）送股、转增股、配股和公开增发的新股，按估值日在证券交易所挂牌的同一股票的估值方法估值；该日无交易的，以最近一日的市价（收盘价）估值；</w:t>
      </w:r>
    </w:p>
    <w:p w14:paraId="7D1FB50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2）首次公开发行未上市的股票、债券，采用估值技术确定公允价值，在估值技术难以可靠计量公允价值的情况下，按成本估值；</w:t>
      </w:r>
    </w:p>
    <w:p w14:paraId="4470ADA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1C3A17C"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916F182"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（4）同一债券或股票同时在两个或两个以上市场交易的，按债券或股票所处的市场分别估值。</w:t>
      </w:r>
    </w:p>
    <w:p w14:paraId="403BCB70"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（5）同业存单按估值日第三方估值机构提供的估值净价估值；选定的第三方估值机构未提供估值价格的，按成本估值。</w:t>
      </w:r>
    </w:p>
    <w:p w14:paraId="50F85EE7"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（6）本基金投资股指期货合约，一般以股指期货估值日的结算价进行估值，估值当日无结算价的，且最近交易日后经济环境未发生重大变化的，采用最近交易日结算价估值。</w:t>
      </w:r>
    </w:p>
    <w:p w14:paraId="635DAE3D" w14:textId="6CFE4C64" w:rsidR="00B07A76"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（7）本基金投资股票期权合约，根据相关法律法规以及监管部门的规定估值。</w:t>
      </w:r>
    </w:p>
    <w:p w14:paraId="1BF250B3"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（8）本基金投资国债期货合约，一般以国债期货合约估值日的结算价估值，</w:t>
      </w:r>
      <w:r w:rsidRPr="00960C25">
        <w:rPr>
          <w:rFonts w:asciiTheme="minorEastAsia" w:eastAsiaTheme="minorEastAsia" w:hAnsiTheme="minorEastAsia" w:cs="Arial" w:hint="eastAsia"/>
          <w:color w:val="000000" w:themeColor="text1"/>
          <w:sz w:val="24"/>
        </w:rPr>
        <w:lastRenderedPageBreak/>
        <w:t>估值当日无结算价的，且最近交易日后经济环境未发生重大变化的，采用最近交易日结算价估值。如法律法规今后另有规定的，从其规定。</w:t>
      </w:r>
    </w:p>
    <w:p w14:paraId="3A0EA424"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5EBBCCFF"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E9EF906" w14:textId="6A3D2319" w:rsidR="00B07A76" w:rsidRPr="00960C25" w:rsidRDefault="00A36AA9"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（1</w:t>
      </w:r>
      <w:r w:rsidRPr="00960C25">
        <w:rPr>
          <w:rFonts w:asciiTheme="minorEastAsia" w:eastAsiaTheme="minorEastAsia" w:hAnsiTheme="minorEastAsia" w:cs="Arial"/>
          <w:color w:val="000000" w:themeColor="text1"/>
          <w:sz w:val="24"/>
        </w:rPr>
        <w:t>0</w:t>
      </w:r>
      <w:r w:rsidRPr="00960C25">
        <w:rPr>
          <w:rFonts w:asciiTheme="minorEastAsia" w:eastAsiaTheme="minorEastAsia" w:hAnsiTheme="minorEastAsia" w:cs="Arial" w:hint="eastAsia"/>
          <w:color w:val="000000" w:themeColor="text1"/>
          <w:sz w:val="24"/>
        </w:rPr>
        <w:t>）</w:t>
      </w:r>
      <w:r w:rsidR="005916C4" w:rsidRPr="00960C25">
        <w:rPr>
          <w:rFonts w:asciiTheme="minorEastAsia" w:eastAsiaTheme="minorEastAsia" w:hAnsiTheme="minorEastAsia" w:cs="Arial" w:hint="eastAsia"/>
          <w:color w:val="000000" w:themeColor="text1"/>
          <w:sz w:val="24"/>
        </w:rPr>
        <w:t>本基金参与融资业务的，按照相关法律法规、监管部门和行业协会的相关规定进行估值。</w:t>
      </w:r>
    </w:p>
    <w:p w14:paraId="58C59767" w14:textId="5489751F" w:rsidR="00B07A76"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（1</w:t>
      </w:r>
      <w:r w:rsidR="00A36AA9" w:rsidRPr="00960C25">
        <w:rPr>
          <w:rFonts w:asciiTheme="minorEastAsia" w:eastAsiaTheme="minorEastAsia" w:hAnsiTheme="minorEastAsia" w:cs="Arial"/>
          <w:color w:val="000000" w:themeColor="text1"/>
          <w:sz w:val="24"/>
        </w:rPr>
        <w:t>1</w:t>
      </w:r>
      <w:r w:rsidRPr="00960C25">
        <w:rPr>
          <w:rFonts w:asciiTheme="minorEastAsia" w:eastAsiaTheme="minorEastAsia" w:hAnsiTheme="minorEastAsia" w:cs="Arial" w:hint="eastAsia"/>
          <w:color w:val="000000" w:themeColor="text1"/>
          <w:sz w:val="24"/>
        </w:rPr>
        <w:t>）如有确凿证据表明按上述方法进行估值不能客观反映其公允价值的，基金管理人可根据具体情况与基金托管人商定后，按最能反映公允价值的价格估值。</w:t>
      </w:r>
    </w:p>
    <w:p w14:paraId="4FBF6FE7" w14:textId="77777777" w:rsidR="00B97791"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（1</w:t>
      </w:r>
      <w:r w:rsidR="00A36AA9" w:rsidRPr="00960C25">
        <w:rPr>
          <w:rFonts w:asciiTheme="minorEastAsia" w:eastAsiaTheme="minorEastAsia" w:hAnsiTheme="minorEastAsia" w:cs="Arial"/>
          <w:color w:val="000000" w:themeColor="text1"/>
          <w:sz w:val="24"/>
        </w:rPr>
        <w:t>2</w:t>
      </w:r>
      <w:r w:rsidRPr="00960C25">
        <w:rPr>
          <w:rFonts w:asciiTheme="minorEastAsia" w:eastAsiaTheme="minorEastAsia" w:hAnsiTheme="minorEastAsia" w:cs="Arial" w:hint="eastAsia"/>
          <w:color w:val="000000" w:themeColor="text1"/>
          <w:sz w:val="24"/>
        </w:rPr>
        <w:t>）</w:t>
      </w:r>
      <w:r w:rsidR="00B97791" w:rsidRPr="00960C25">
        <w:rPr>
          <w:rFonts w:asciiTheme="minorEastAsia" w:eastAsiaTheme="minorEastAsia" w:hAnsiTheme="minorEastAsia" w:cs="Arial" w:hint="eastAsia"/>
          <w:color w:val="000000" w:themeColor="text1"/>
          <w:sz w:val="24"/>
        </w:rPr>
        <w:t>本基金投资存托凭证的估值核算，依照境内上市交易的股票进行。</w:t>
      </w:r>
    </w:p>
    <w:p w14:paraId="2F4E26F5" w14:textId="29CC5810" w:rsidR="00B07A76" w:rsidRPr="00960C25" w:rsidRDefault="00B97791"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（1</w:t>
      </w:r>
      <w:r w:rsidRPr="00960C25">
        <w:rPr>
          <w:rFonts w:asciiTheme="minorEastAsia" w:eastAsiaTheme="minorEastAsia" w:hAnsiTheme="minorEastAsia" w:cs="Arial"/>
          <w:color w:val="000000" w:themeColor="text1"/>
          <w:sz w:val="24"/>
        </w:rPr>
        <w:t>3</w:t>
      </w:r>
      <w:r w:rsidRPr="00960C25">
        <w:rPr>
          <w:rFonts w:asciiTheme="minorEastAsia" w:eastAsiaTheme="minorEastAsia" w:hAnsiTheme="minorEastAsia" w:cs="Arial" w:hint="eastAsia"/>
          <w:color w:val="000000" w:themeColor="text1"/>
          <w:sz w:val="24"/>
        </w:rPr>
        <w:t>）</w:t>
      </w:r>
      <w:r w:rsidR="005916C4" w:rsidRPr="00960C25">
        <w:rPr>
          <w:rFonts w:asciiTheme="minorEastAsia" w:eastAsiaTheme="minorEastAsia" w:hAnsiTheme="minorEastAsia" w:cs="Arial" w:hint="eastAsia"/>
          <w:color w:val="000000" w:themeColor="text1"/>
          <w:sz w:val="24"/>
        </w:rPr>
        <w:t>当发生大额申购或赎回情形时，基金管理人可以采用摆动定价机制，以确保基金估值的公平性。</w:t>
      </w:r>
    </w:p>
    <w:p w14:paraId="643944FE" w14:textId="38D7C818" w:rsidR="00B07A76"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（1</w:t>
      </w:r>
      <w:r w:rsidR="00B97791" w:rsidRPr="00960C25">
        <w:rPr>
          <w:rFonts w:asciiTheme="minorEastAsia" w:eastAsiaTheme="minorEastAsia" w:hAnsiTheme="minorEastAsia" w:cs="Arial"/>
          <w:color w:val="000000" w:themeColor="text1"/>
          <w:sz w:val="24"/>
        </w:rPr>
        <w:t>4</w:t>
      </w:r>
      <w:r w:rsidRPr="00960C25">
        <w:rPr>
          <w:rFonts w:asciiTheme="minorEastAsia" w:eastAsiaTheme="minorEastAsia" w:hAnsiTheme="minorEastAsia" w:cs="Arial" w:hint="eastAsia"/>
          <w:color w:val="000000" w:themeColor="text1"/>
          <w:sz w:val="24"/>
        </w:rPr>
        <w:t>）相关法律法规以及监管部门有强制规定的，从其规定。如有新增事项，按国家最新规定估值。</w:t>
      </w:r>
    </w:p>
    <w:p w14:paraId="0418A2C3"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color w:val="000000" w:themeColor="text1"/>
          <w:sz w:val="24"/>
        </w:rPr>
      </w:pPr>
      <w:r w:rsidRPr="00960C25">
        <w:rPr>
          <w:rFonts w:asciiTheme="minorEastAsia" w:eastAsiaTheme="minorEastAsia" w:hAnsiTheme="minorEastAsia" w:cs="Arial" w:hint="eastAsia"/>
          <w:color w:val="000000" w:themeColor="text1"/>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028C830"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color w:val="000000" w:themeColor="text1"/>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960C25">
        <w:rPr>
          <w:rFonts w:asciiTheme="minorEastAsia" w:eastAsiaTheme="minorEastAsia" w:hAnsiTheme="minorEastAsia" w:hint="eastAsia"/>
          <w:sz w:val="24"/>
        </w:rPr>
        <w:t>基金管理人向基金托管人出具加盖公章的书面说明后，</w:t>
      </w:r>
      <w:r w:rsidRPr="00960C25">
        <w:rPr>
          <w:rFonts w:asciiTheme="minorEastAsia" w:eastAsiaTheme="minorEastAsia" w:hAnsiTheme="minorEastAsia" w:cs="Arial" w:hint="eastAsia"/>
          <w:color w:val="000000" w:themeColor="text1"/>
          <w:sz w:val="24"/>
        </w:rPr>
        <w:t>按照基金管理人对基金净值信息的计算结果对外予以公布。</w:t>
      </w:r>
    </w:p>
    <w:p w14:paraId="209166BE"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3.特殊情形的处理</w:t>
      </w:r>
    </w:p>
    <w:p w14:paraId="051F3868" w14:textId="3A716233"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基金管理人、基金托管人按估值方法的第(</w:t>
      </w:r>
      <w:r w:rsidRPr="00960C25">
        <w:rPr>
          <w:rFonts w:asciiTheme="minorEastAsia" w:eastAsiaTheme="minorEastAsia" w:hAnsiTheme="minorEastAsia" w:cs="Arial"/>
          <w:sz w:val="24"/>
        </w:rPr>
        <w:t>1</w:t>
      </w:r>
      <w:r w:rsidR="00A36AA9" w:rsidRPr="00960C25">
        <w:rPr>
          <w:rFonts w:asciiTheme="minorEastAsia" w:eastAsiaTheme="minorEastAsia" w:hAnsiTheme="minorEastAsia" w:cs="Arial"/>
          <w:sz w:val="24"/>
        </w:rPr>
        <w:t>1</w:t>
      </w:r>
      <w:r w:rsidRPr="00960C25">
        <w:rPr>
          <w:rFonts w:asciiTheme="minorEastAsia" w:eastAsiaTheme="minorEastAsia" w:hAnsiTheme="minorEastAsia" w:cs="Arial" w:hint="eastAsia"/>
          <w:sz w:val="24"/>
        </w:rPr>
        <w:t>)项进行估值时，所造成的误差</w:t>
      </w:r>
      <w:r w:rsidRPr="00960C25">
        <w:rPr>
          <w:rFonts w:asciiTheme="minorEastAsia" w:eastAsiaTheme="minorEastAsia" w:hAnsiTheme="minorEastAsia" w:cs="Arial" w:hint="eastAsia"/>
          <w:sz w:val="24"/>
        </w:rPr>
        <w:lastRenderedPageBreak/>
        <w:t>不作为基金资产估值错误处理。</w:t>
      </w:r>
    </w:p>
    <w:p w14:paraId="19C395CC"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（三）基金份额净值错误的处理方式</w:t>
      </w:r>
    </w:p>
    <w:p w14:paraId="7F56666F"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1.当基金份额净值小数点后</w:t>
      </w:r>
      <w:r w:rsidRPr="00960C25">
        <w:rPr>
          <w:rFonts w:asciiTheme="minorEastAsia" w:eastAsiaTheme="minorEastAsia" w:hAnsiTheme="minorEastAsia" w:cs="Arial"/>
          <w:sz w:val="24"/>
        </w:rPr>
        <w:t>4</w:t>
      </w:r>
      <w:r w:rsidRPr="00960C25">
        <w:rPr>
          <w:rFonts w:asciiTheme="minorEastAsia" w:eastAsiaTheme="minorEastAsia" w:hAnsiTheme="minorEastAsia" w:cs="Arial" w:hint="eastAsia"/>
          <w:sz w:val="24"/>
        </w:rPr>
        <w:t>位以内(含第</w:t>
      </w:r>
      <w:r w:rsidRPr="00960C25">
        <w:rPr>
          <w:rFonts w:asciiTheme="minorEastAsia" w:eastAsiaTheme="minorEastAsia" w:hAnsiTheme="minorEastAsia" w:cs="Arial"/>
          <w:sz w:val="24"/>
        </w:rPr>
        <w:t>4</w:t>
      </w:r>
      <w:r w:rsidRPr="00960C25">
        <w:rPr>
          <w:rFonts w:asciiTheme="minorEastAsia" w:eastAsiaTheme="minorEastAsia" w:hAnsiTheme="minorEastAsia" w:cs="Arial"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30A49A6D"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2.当基金份额净值计算差错给基金和基金份额持有人造成损失需要进行赔偿时，基金管理人和基金托管人应根据实际情况界定双方承担的责任，经确认后按以下条款进行赔偿：</w:t>
      </w:r>
    </w:p>
    <w:p w14:paraId="35C502DE"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620BCC1F"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9A2BA6B" w14:textId="77777777" w:rsidR="00B07A76" w:rsidRPr="00960C25" w:rsidRDefault="005916C4" w:rsidP="00960C25">
      <w:pPr>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2D6900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w:t>
      </w:r>
      <w:r w:rsidRPr="00960C25">
        <w:rPr>
          <w:rFonts w:asciiTheme="minorEastAsia" w:eastAsia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C616C9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由于证券/期货交易所及登记结算公司等第三方机构发送的数据错误，或由于其他不可抗力原因，基金管理人和基金托管人虽然已经采取必要、适当、合理的措施进行检查，但是未能发现该错误而造成的基金资产估值错误，基金管理人、</w:t>
      </w:r>
      <w:r w:rsidRPr="00960C25">
        <w:rPr>
          <w:rFonts w:asciiTheme="minorEastAsia" w:eastAsiaTheme="minorEastAsia" w:hAnsiTheme="minorEastAsia" w:cs="Arial" w:hint="eastAsia"/>
          <w:sz w:val="24"/>
        </w:rPr>
        <w:lastRenderedPageBreak/>
        <w:t>基金托管人免除赔偿责任。但基金管理人、基金托管人应积极采取必要的措施减轻或消除由此造成的影响。</w:t>
      </w:r>
    </w:p>
    <w:p w14:paraId="308F87F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4.基金管理人和基金托管人由于各自技术系统设置而产生的净值计算尾差，以基金管理人计算结果为准。</w:t>
      </w:r>
    </w:p>
    <w:p w14:paraId="0D5EED0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5.前述内容如法律法规或者监管部门另有规定的，从其规定。如果行业另有通行做法，双方当事人应本着平等和保护基金份额持有人利益的原则进行协商。</w:t>
      </w:r>
    </w:p>
    <w:p w14:paraId="0DB84CDC"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（四）暂停估值与公告基金份额净值的情形</w:t>
      </w:r>
    </w:p>
    <w:p w14:paraId="72695E8C"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1.基金投资所涉及的证券/期货交易市场遇法定节假日或因其他原因暂停营业时；</w:t>
      </w:r>
    </w:p>
    <w:p w14:paraId="4F5D1DC4"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2.因不可抗力致使基金管理人、基金托管人无法准确评估基金资产价值时；</w:t>
      </w:r>
    </w:p>
    <w:p w14:paraId="424BBA40" w14:textId="529CE96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3.</w:t>
      </w:r>
      <w:r w:rsidRPr="00960C25">
        <w:rPr>
          <w:rFonts w:asciiTheme="minorEastAsia" w:eastAsiaTheme="minorEastAsia" w:hAnsiTheme="minorEastAsia" w:hint="eastAsia"/>
          <w:sz w:val="24"/>
        </w:rPr>
        <w:t>当</w:t>
      </w:r>
      <w:r w:rsidR="00EE189C" w:rsidRPr="00960C25">
        <w:rPr>
          <w:rFonts w:asciiTheme="minorEastAsia" w:eastAsiaTheme="minorEastAsia" w:hAnsiTheme="minorEastAsia" w:hint="eastAsia"/>
          <w:sz w:val="24"/>
        </w:rPr>
        <w:t>特定资产占</w:t>
      </w:r>
      <w:r w:rsidRPr="00960C25">
        <w:rPr>
          <w:rFonts w:asciiTheme="minorEastAsia" w:eastAsiaTheme="minorEastAsia" w:hAnsiTheme="minorEastAsia" w:hint="eastAsia"/>
          <w:sz w:val="24"/>
        </w:rPr>
        <w:t>前一估值日基金资产净值50%以上的，经与基金托管人协商确认后，基金管理人应当暂停估值</w:t>
      </w:r>
      <w:r w:rsidRPr="00960C25">
        <w:rPr>
          <w:rFonts w:asciiTheme="minorEastAsia" w:eastAsiaTheme="minorEastAsia" w:hAnsiTheme="minorEastAsia" w:cs="Arial" w:hint="eastAsia"/>
          <w:sz w:val="24"/>
        </w:rPr>
        <w:t>；</w:t>
      </w:r>
    </w:p>
    <w:p w14:paraId="6E34FF1E"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4.中国证监会和《基金合同》认定的其他情形。</w:t>
      </w:r>
    </w:p>
    <w:p w14:paraId="022C01E3"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（五）基金会计制度</w:t>
      </w:r>
    </w:p>
    <w:p w14:paraId="6D5108C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按国家有关部门规定的会计制度执行。</w:t>
      </w:r>
    </w:p>
    <w:p w14:paraId="58CB882D"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（六）基金账册的建立</w:t>
      </w:r>
    </w:p>
    <w:p w14:paraId="1333FFE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4CEC83A0"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（七）基金财务报表与报告的编制和复核</w:t>
      </w:r>
    </w:p>
    <w:p w14:paraId="28827B0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1.财务报表的编制</w:t>
      </w:r>
    </w:p>
    <w:p w14:paraId="30B57BB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基金财务报表由基金管理人编制，基金托管人复核。</w:t>
      </w:r>
    </w:p>
    <w:p w14:paraId="3D58686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2.报表复核</w:t>
      </w:r>
    </w:p>
    <w:p w14:paraId="03AA55D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基金托管人在收到基金管理人编制的基金财务报表后，进行独立的复核。核对不符时，应及时通知基金管理人共同查出原因，进行调整，直至双方数据完全一致。</w:t>
      </w:r>
    </w:p>
    <w:p w14:paraId="38AB0C5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3.财务报表的编制与复核时间安排</w:t>
      </w:r>
    </w:p>
    <w:p w14:paraId="15044DA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(1)报表的编制</w:t>
      </w:r>
    </w:p>
    <w:p w14:paraId="6123CB6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基金管理人应当在每月结束后5个工作日内完成月度报表的编制；在季度结</w:t>
      </w:r>
      <w:r w:rsidRPr="00960C25">
        <w:rPr>
          <w:rFonts w:asciiTheme="minorEastAsia" w:eastAsiaTheme="minorEastAsia" w:hAnsiTheme="minorEastAsia" w:cs="Arial" w:hint="eastAsia"/>
          <w:sz w:val="24"/>
        </w:rPr>
        <w:lastRenderedPageBreak/>
        <w:t>束之日起15个工作日内完成基金季度报告的编制；在上半年结束之日起两个月内完成基金中期报告的编制；在每年结束之日起三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14:paraId="353FBA36" w14:textId="77777777" w:rsidR="00B07A76" w:rsidRPr="00960C25" w:rsidRDefault="005916C4" w:rsidP="00960C25">
      <w:pPr>
        <w:pStyle w:val="a0"/>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(2)报表的复核</w:t>
      </w:r>
    </w:p>
    <w:p w14:paraId="68D78A7F" w14:textId="77777777" w:rsidR="00B07A76" w:rsidRPr="00960C25" w:rsidRDefault="005916C4" w:rsidP="00960C25">
      <w:pPr>
        <w:pStyle w:val="a0"/>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FE92505" w14:textId="77777777" w:rsidR="00B07A76" w:rsidRPr="00960C25" w:rsidRDefault="005916C4" w:rsidP="00960C25">
      <w:pPr>
        <w:pStyle w:val="a0"/>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基金管理人应留足充分的时间，便于基金托管人复核相关报表及报告。</w:t>
      </w:r>
    </w:p>
    <w:p w14:paraId="1E3E0676" w14:textId="77777777" w:rsidR="00B07A76" w:rsidRPr="00960C25" w:rsidRDefault="005916C4" w:rsidP="00960C25">
      <w:pPr>
        <w:pStyle w:val="a0"/>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（八）基金管理人应在编制季度报告、中期报告或者年度报告之前及时向基金托管人提供基金业绩比较基准的基础数据和编制结果。</w:t>
      </w:r>
    </w:p>
    <w:p w14:paraId="0001E510" w14:textId="77777777" w:rsidR="00EE189C" w:rsidRPr="00960C25" w:rsidRDefault="00EE189C" w:rsidP="00960C25">
      <w:pPr>
        <w:pStyle w:val="a0"/>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（九）实施侧袋机制期间的基金资产估值</w:t>
      </w:r>
    </w:p>
    <w:p w14:paraId="61144F08" w14:textId="63BD34B5" w:rsidR="00EE189C" w:rsidRPr="00960C25" w:rsidRDefault="00EE189C" w:rsidP="00960C25">
      <w:pPr>
        <w:pStyle w:val="a0"/>
        <w:adjustRightInd w:val="0"/>
        <w:snapToGrid w:val="0"/>
        <w:spacing w:line="360" w:lineRule="auto"/>
        <w:ind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本基金实施侧袋机制的，应根据本部分的约定对主袋账户资产进行估值并披露主袋账户的基金净值信息，暂停披露侧袋账户份额净值。</w:t>
      </w:r>
    </w:p>
    <w:p w14:paraId="4C8AA7F2" w14:textId="77777777" w:rsidR="00B07A76" w:rsidRPr="00960C25" w:rsidRDefault="00B07A76" w:rsidP="00960C25">
      <w:pPr>
        <w:pStyle w:val="a0"/>
        <w:adjustRightInd w:val="0"/>
        <w:snapToGrid w:val="0"/>
        <w:spacing w:line="360" w:lineRule="auto"/>
        <w:ind w:firstLineChars="0" w:firstLine="0"/>
        <w:rPr>
          <w:rFonts w:asciiTheme="minorEastAsia" w:eastAsiaTheme="minorEastAsia" w:hAnsiTheme="minorEastAsia" w:cs="Arial"/>
          <w:sz w:val="24"/>
        </w:rPr>
      </w:pPr>
    </w:p>
    <w:p w14:paraId="7E59C8E6"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87" w:name="_Toc124325893"/>
      <w:r w:rsidRPr="00960C25">
        <w:rPr>
          <w:rFonts w:asciiTheme="minorEastAsia" w:eastAsiaTheme="minorEastAsia" w:hAnsiTheme="minorEastAsia" w:hint="eastAsia"/>
          <w:sz w:val="24"/>
          <w:szCs w:val="24"/>
        </w:rPr>
        <w:t>九、基金收益分配</w:t>
      </w:r>
      <w:bookmarkEnd w:id="87"/>
    </w:p>
    <w:p w14:paraId="557D258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基金收益分配是指按规定将基金的可分配收益按基金份额进行比例分配。</w:t>
      </w:r>
    </w:p>
    <w:p w14:paraId="3D157D31"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（一）基金收益分配的原则</w:t>
      </w:r>
    </w:p>
    <w:p w14:paraId="7C708FC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基金收益分配应遵循下列原则：</w:t>
      </w:r>
    </w:p>
    <w:p w14:paraId="2AB244AB" w14:textId="70B5442E" w:rsidR="00A36AA9" w:rsidRPr="00960C25" w:rsidRDefault="00A36AA9"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本基金收益分配方式分两种：现金分红与红利再投资，投资者可选择现金红利或将现金红利自动转为基金份额进行再投资；若投资者不选择，本基金默认的收益分配方式是现金分红；以红利再投资方式取得的基金份额的持有到期时间与投资者原持有的基金份额最短持有期到期时间一致，因多笔认购、申购导致原持有基金份额最短持有期不一致的，分别计算</w:t>
      </w:r>
      <w:r w:rsidR="00A56E28" w:rsidRPr="00960C25">
        <w:rPr>
          <w:rFonts w:asciiTheme="minorEastAsia" w:eastAsiaTheme="minorEastAsia" w:hAnsiTheme="minorEastAsia" w:cs="Arial" w:hint="eastAsia"/>
          <w:sz w:val="24"/>
        </w:rPr>
        <w:t>；</w:t>
      </w:r>
    </w:p>
    <w:p w14:paraId="14011516" w14:textId="5D00A7F5" w:rsidR="00A36AA9" w:rsidRPr="00960C25" w:rsidRDefault="00A36AA9"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2.基金收益分配后基金份额净值不能低于面值，即基金收益分配基准日的基金份额净值减去每单位基金份额收益分配金额后不能低于面值；</w:t>
      </w:r>
    </w:p>
    <w:p w14:paraId="0892B2FB" w14:textId="70E3E492" w:rsidR="00A36AA9" w:rsidRPr="00960C25" w:rsidRDefault="00A36AA9"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3.每一基金份额享有同等分配权；</w:t>
      </w:r>
    </w:p>
    <w:p w14:paraId="278B633C" w14:textId="4351B330" w:rsidR="00B07A76" w:rsidRPr="00960C25" w:rsidRDefault="00A36AA9"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4.法律法规或监管机关另有规定的，从其规定。</w:t>
      </w:r>
    </w:p>
    <w:p w14:paraId="296AC9EB"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lastRenderedPageBreak/>
        <w:t>在不违反法律法规且对基金份额持有人利益无实质性不利影响的前提下，基金管理人可对基金收益分配原则进行调整，无需召开基金份额持有人大会。</w:t>
      </w:r>
    </w:p>
    <w:p w14:paraId="00D0FD0A"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（二）基金收益分配的时间和程序</w:t>
      </w:r>
    </w:p>
    <w:p w14:paraId="6C8812BD"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本基金收益分配方案由基金管理人拟定，并由基金托管人复核，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3B43E003"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3BB54E61" w14:textId="77777777" w:rsidR="00EE189C" w:rsidRPr="00960C25" w:rsidRDefault="00EE189C"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（三）实施侧袋机制期间的收益分配</w:t>
      </w:r>
    </w:p>
    <w:p w14:paraId="5EE99A0D" w14:textId="358CA838" w:rsidR="00EE189C" w:rsidRPr="00960C25" w:rsidRDefault="00EE189C"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本基金实施侧袋机制的，侧袋账户不进行收益分配，详见招募说明书的规定。</w:t>
      </w:r>
    </w:p>
    <w:p w14:paraId="35F5A224" w14:textId="77777777" w:rsidR="00B07A76" w:rsidRPr="00960C25" w:rsidRDefault="00B07A76" w:rsidP="00960C25">
      <w:pPr>
        <w:adjustRightInd w:val="0"/>
        <w:snapToGrid w:val="0"/>
        <w:spacing w:line="360" w:lineRule="auto"/>
        <w:rPr>
          <w:rFonts w:asciiTheme="minorEastAsia" w:eastAsiaTheme="minorEastAsia" w:hAnsiTheme="minorEastAsia" w:cs="Arial"/>
          <w:sz w:val="24"/>
        </w:rPr>
      </w:pPr>
    </w:p>
    <w:p w14:paraId="2B5A0AC2"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88" w:name="_Toc124325894"/>
      <w:r w:rsidRPr="00960C25">
        <w:rPr>
          <w:rFonts w:asciiTheme="minorEastAsia" w:eastAsiaTheme="minorEastAsia" w:hAnsiTheme="minorEastAsia" w:hint="eastAsia"/>
          <w:sz w:val="24"/>
          <w:szCs w:val="24"/>
        </w:rPr>
        <w:t>十、基金信息披露</w:t>
      </w:r>
      <w:bookmarkEnd w:id="88"/>
    </w:p>
    <w:p w14:paraId="385B797C"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（一）保密义务</w:t>
      </w:r>
    </w:p>
    <w:p w14:paraId="28506F0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0C119D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1.非因基金管理人和基金托管人的原因导致保密信息被披露、泄露或公开；</w:t>
      </w:r>
    </w:p>
    <w:p w14:paraId="7B0A32C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2.基金管理人和基金托管人为遵守和服从法院判决或裁定、仲裁裁决或中国证监会等监管机构的命令、决定所做出的信息披露或公开。</w:t>
      </w:r>
    </w:p>
    <w:p w14:paraId="514C353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（二）信息披露的内容</w:t>
      </w:r>
    </w:p>
    <w:p w14:paraId="73A38A13" w14:textId="55143D66"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基金的信息披露内容主要包括基金招募说明书、《基金合同》、托管协议、基金份额发售公告、基金产品资料概要、基金募集情况、《基金合同》生效公告、基金净值</w:t>
      </w:r>
      <w:r w:rsidR="00853C7A" w:rsidRPr="00960C25">
        <w:rPr>
          <w:rFonts w:asciiTheme="minorEastAsia" w:eastAsiaTheme="minorEastAsia" w:hAnsiTheme="minorEastAsia" w:cs="Arial" w:hint="eastAsia"/>
          <w:sz w:val="24"/>
        </w:rPr>
        <w:t>信息</w:t>
      </w:r>
      <w:r w:rsidRPr="00960C25">
        <w:rPr>
          <w:rFonts w:asciiTheme="minorEastAsia" w:eastAsiaTheme="minorEastAsia" w:hAnsiTheme="minorEastAsia" w:cs="Arial" w:hint="eastAsia"/>
          <w:sz w:val="24"/>
        </w:rPr>
        <w:t>、基金份额的申购、赎回价格、基金定期报告（包括基金年度报告、基金中期报告和基金季度报告）、临时报告、澄清公告、清算报告、基金份额持有</w:t>
      </w:r>
      <w:r w:rsidRPr="00960C25">
        <w:rPr>
          <w:rFonts w:asciiTheme="minorEastAsia" w:eastAsiaTheme="minorEastAsia" w:hAnsiTheme="minorEastAsia" w:cs="Arial" w:hint="eastAsia"/>
          <w:sz w:val="24"/>
        </w:rPr>
        <w:lastRenderedPageBreak/>
        <w:t>人大会决议、投资资产支持证券、国债期货、股指期货、股票期权、参与</w:t>
      </w:r>
      <w:r w:rsidRPr="00960C25">
        <w:rPr>
          <w:rFonts w:asciiTheme="minorEastAsia" w:eastAsiaTheme="minorEastAsia" w:hAnsiTheme="minorEastAsia" w:cs="Arial" w:hint="eastAsia"/>
          <w:bCs/>
          <w:sz w:val="24"/>
        </w:rPr>
        <w:t>港股通交易及</w:t>
      </w:r>
      <w:r w:rsidRPr="00960C25">
        <w:rPr>
          <w:rFonts w:asciiTheme="minorEastAsia" w:eastAsiaTheme="minorEastAsia" w:hAnsiTheme="minorEastAsia" w:cs="Arial" w:hint="eastAsia"/>
          <w:sz w:val="24"/>
        </w:rPr>
        <w:t>融资业务的信息披露、流动性风险分析的信息披露等中国证监会规定的其他信息。基金年度报告</w:t>
      </w:r>
      <w:r w:rsidR="00371228" w:rsidRPr="00960C25">
        <w:rPr>
          <w:rFonts w:asciiTheme="minorEastAsia" w:eastAsiaTheme="minorEastAsia" w:hAnsiTheme="minorEastAsia" w:cs="Arial" w:hint="eastAsia"/>
          <w:sz w:val="24"/>
        </w:rPr>
        <w:t>中的财务会计报告</w:t>
      </w:r>
      <w:r w:rsidRPr="00960C25">
        <w:rPr>
          <w:rFonts w:asciiTheme="minorEastAsia" w:eastAsiaTheme="minorEastAsia" w:hAnsiTheme="minorEastAsia" w:cs="Arial" w:hint="eastAsia"/>
          <w:sz w:val="24"/>
        </w:rPr>
        <w:t>需经符合《中华人民共和国证券法》规定的会计师事务所审计后，方可披露。</w:t>
      </w:r>
    </w:p>
    <w:p w14:paraId="471E7A5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（三）基金托管人和基金管理人在信息披露中的职责和信息披露程序</w:t>
      </w:r>
    </w:p>
    <w:p w14:paraId="774761C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1.职责</w:t>
      </w:r>
    </w:p>
    <w:p w14:paraId="087EB56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003285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对于不需要基金托管人复核的信息，基金管理人在公告前应告知基金托管人。</w:t>
      </w:r>
    </w:p>
    <w:p w14:paraId="142F29E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基金管理人和基金托管人应积极配合、互相监督，保证其履行按照法定方式和限时披露的义务。</w:t>
      </w:r>
    </w:p>
    <w:p w14:paraId="7066973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2AC532E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当出现下述情况时，基金管理人和基金托管人可暂停或延迟披露基金相关信息：</w:t>
      </w:r>
    </w:p>
    <w:p w14:paraId="6A3D9BA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w:t>
      </w:r>
      <w:r w:rsidRPr="00960C25">
        <w:rPr>
          <w:rFonts w:asciiTheme="minorEastAsia" w:eastAsiaTheme="minorEastAsia" w:hAnsiTheme="minorEastAsia" w:hint="eastAsia"/>
          <w:sz w:val="24"/>
        </w:rPr>
        <w:t xml:space="preserve"> </w:t>
      </w:r>
      <w:r w:rsidRPr="00960C25">
        <w:rPr>
          <w:rFonts w:asciiTheme="minorEastAsia" w:eastAsiaTheme="minorEastAsia" w:hAnsiTheme="minorEastAsia" w:cs="Arial" w:hint="eastAsia"/>
          <w:sz w:val="24"/>
        </w:rPr>
        <w:t>基金投资所涉及的证券/期货交易所遇法定节假日或因其他原因暂停营业时；</w:t>
      </w:r>
    </w:p>
    <w:p w14:paraId="5889658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w:t>
      </w:r>
      <w:r w:rsidRPr="00960C25">
        <w:rPr>
          <w:rFonts w:asciiTheme="minorEastAsia" w:eastAsiaTheme="minorEastAsia" w:hAnsiTheme="minorEastAsia" w:hint="eastAsia"/>
          <w:sz w:val="24"/>
        </w:rPr>
        <w:t xml:space="preserve"> </w:t>
      </w:r>
      <w:r w:rsidRPr="00960C25">
        <w:rPr>
          <w:rFonts w:asciiTheme="minorEastAsia" w:eastAsiaTheme="minorEastAsia" w:hAnsiTheme="minorEastAsia" w:cs="Arial" w:hint="eastAsia"/>
          <w:sz w:val="24"/>
        </w:rPr>
        <w:t>因不可抗力或其他情形致使基金管理人、基金托管人无法准确评估基金资产价值时；</w:t>
      </w:r>
    </w:p>
    <w:p w14:paraId="2A08E2A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w:t>
      </w:r>
      <w:r w:rsidRPr="00960C25">
        <w:rPr>
          <w:rFonts w:asciiTheme="minorEastAsia" w:eastAsiaTheme="minorEastAsia" w:hAnsiTheme="minorEastAsia" w:cs="Arial"/>
          <w:sz w:val="24"/>
        </w:rPr>
        <w:t xml:space="preserve"> </w:t>
      </w:r>
      <w:r w:rsidRPr="00960C25">
        <w:rPr>
          <w:rFonts w:asciiTheme="minorEastAsia" w:eastAsiaTheme="minorEastAsia" w:hAnsiTheme="minorEastAsia" w:cs="Arial" w:hint="eastAsia"/>
          <w:sz w:val="24"/>
        </w:rPr>
        <w:t>法律法规规定、中国证监会或《基金合同》认定的其他情形。</w:t>
      </w:r>
    </w:p>
    <w:p w14:paraId="31EC0F1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2.程序</w:t>
      </w:r>
    </w:p>
    <w:p w14:paraId="480C9B5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6AFF6E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3.信息文本的存放</w:t>
      </w:r>
    </w:p>
    <w:p w14:paraId="479ED7E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依法必须披露的信息发布后，基金管理人、基金托管人应当按照相关法律法</w:t>
      </w:r>
      <w:r w:rsidRPr="00960C25">
        <w:rPr>
          <w:rFonts w:asciiTheme="minorEastAsia" w:eastAsiaTheme="minorEastAsia" w:hAnsiTheme="minorEastAsia" w:cs="Arial" w:hint="eastAsia"/>
          <w:sz w:val="24"/>
        </w:rPr>
        <w:lastRenderedPageBreak/>
        <w:t>规规定将信息置备于各自住所，供社会公众查阅、复制。投资者在支付工本费后可在合理时间获得上述文件的复制件或复印件。基金管理人和基金托管人应保证文本的内容与所公告的内容完全一致。</w:t>
      </w:r>
    </w:p>
    <w:p w14:paraId="33CD7B4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w:t>
      </w:r>
      <w:r w:rsidRPr="00960C25">
        <w:rPr>
          <w:rFonts w:asciiTheme="minorEastAsia" w:eastAsiaTheme="minorEastAsia" w:hAnsiTheme="minorEastAsia" w:cs="Arial"/>
          <w:sz w:val="24"/>
        </w:rPr>
        <w:t>.</w:t>
      </w:r>
      <w:r w:rsidRPr="00960C25">
        <w:rPr>
          <w:rFonts w:asciiTheme="minorEastAsia" w:eastAsiaTheme="minorEastAsia" w:hAnsiTheme="minorEastAsia" w:cs="Arial" w:hint="eastAsia"/>
          <w:sz w:val="24"/>
        </w:rPr>
        <w:t>本基金信息披露事项以法律法规规定及基金合同“第十八部分 基金的信息披露”约定的内容为准。</w:t>
      </w:r>
    </w:p>
    <w:p w14:paraId="79F8FD9E" w14:textId="77777777" w:rsidR="00EE189C" w:rsidRPr="00960C25" w:rsidRDefault="00EE189C"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（四）实施侧袋机制期间的信息披露</w:t>
      </w:r>
    </w:p>
    <w:p w14:paraId="2FD12A01" w14:textId="6026A1D7" w:rsidR="00EE189C" w:rsidRPr="00960C25" w:rsidRDefault="00EE189C"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本基金实施侧袋机制的，相关信息披露义务人应当根据法律法规、基金合同和招募说明书的规定进行信息披露，详见招募说明书的规定。</w:t>
      </w:r>
    </w:p>
    <w:p w14:paraId="6D0036A0" w14:textId="77777777" w:rsidR="00B07A76" w:rsidRPr="00960C25" w:rsidRDefault="00B07A76" w:rsidP="00960C25">
      <w:pPr>
        <w:pStyle w:val="a0"/>
        <w:spacing w:line="360" w:lineRule="auto"/>
        <w:ind w:firstLineChars="0" w:firstLine="0"/>
        <w:rPr>
          <w:rFonts w:asciiTheme="minorEastAsia" w:eastAsiaTheme="minorEastAsia" w:hAnsiTheme="minorEastAsia" w:cs="Arial"/>
          <w:sz w:val="24"/>
        </w:rPr>
      </w:pPr>
    </w:p>
    <w:p w14:paraId="3C3C896B"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89" w:name="_Toc124325895"/>
      <w:r w:rsidRPr="00960C25">
        <w:rPr>
          <w:rFonts w:asciiTheme="minorEastAsia" w:eastAsiaTheme="minorEastAsia" w:hAnsiTheme="minorEastAsia" w:hint="eastAsia"/>
          <w:sz w:val="24"/>
          <w:szCs w:val="24"/>
        </w:rPr>
        <w:t>十一、基金费用</w:t>
      </w:r>
      <w:bookmarkEnd w:id="89"/>
    </w:p>
    <w:p w14:paraId="797099E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（一）基金管理费的计提比例和计提方法</w:t>
      </w:r>
    </w:p>
    <w:p w14:paraId="6FCDDA9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本基金的管理费按前一日基金资产净值的0</w:t>
      </w:r>
      <w:r w:rsidRPr="00960C25">
        <w:rPr>
          <w:rFonts w:asciiTheme="minorEastAsia" w:eastAsiaTheme="minorEastAsia" w:hAnsiTheme="minorEastAsia" w:cs="Arial"/>
          <w:sz w:val="24"/>
        </w:rPr>
        <w:t>.8</w:t>
      </w:r>
      <w:r w:rsidRPr="00960C25">
        <w:rPr>
          <w:rFonts w:asciiTheme="minorEastAsia" w:eastAsiaTheme="minorEastAsia" w:hAnsiTheme="minorEastAsia" w:cs="Arial" w:hint="eastAsia"/>
          <w:sz w:val="24"/>
        </w:rPr>
        <w:t>%年费率计提。管理费的计算方法如下：</w:t>
      </w:r>
    </w:p>
    <w:p w14:paraId="47477D0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H＝E×年管理费率÷当年天数</w:t>
      </w:r>
    </w:p>
    <w:p w14:paraId="1C94CCA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H为每日应计提的基金管理费</w:t>
      </w:r>
    </w:p>
    <w:p w14:paraId="137C5C0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E为前一日的基金资产净值</w:t>
      </w:r>
    </w:p>
    <w:p w14:paraId="24E3D40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（二）基金托管费的计提比例和计提方法</w:t>
      </w:r>
    </w:p>
    <w:p w14:paraId="53492B8A" w14:textId="29CA9C55"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本基金的托管费按前一日基金资产净值的0</w:t>
      </w:r>
      <w:r w:rsidRPr="00960C25">
        <w:rPr>
          <w:rFonts w:asciiTheme="minorEastAsia" w:eastAsiaTheme="minorEastAsia" w:hAnsiTheme="minorEastAsia" w:cs="Arial"/>
          <w:sz w:val="24"/>
        </w:rPr>
        <w:t>.</w:t>
      </w:r>
      <w:r w:rsidR="00E14A14" w:rsidRPr="00960C25">
        <w:rPr>
          <w:rFonts w:asciiTheme="minorEastAsia" w:eastAsiaTheme="minorEastAsia" w:hAnsiTheme="minorEastAsia" w:cs="Arial"/>
          <w:sz w:val="24"/>
        </w:rPr>
        <w:t>2</w:t>
      </w:r>
      <w:r w:rsidRPr="00960C25">
        <w:rPr>
          <w:rFonts w:asciiTheme="minorEastAsia" w:eastAsiaTheme="minorEastAsia" w:hAnsiTheme="minorEastAsia" w:cs="Arial" w:hint="eastAsia"/>
          <w:sz w:val="24"/>
        </w:rPr>
        <w:t>%年费率计提。托管费的计算方法如下：</w:t>
      </w:r>
    </w:p>
    <w:p w14:paraId="39182CA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H＝E×年托管费率÷当年天数</w:t>
      </w:r>
    </w:p>
    <w:p w14:paraId="6F76664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H为每日应计提的基金托管费</w:t>
      </w:r>
    </w:p>
    <w:p w14:paraId="2C3F6B1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E为前一日的基金资产净值</w:t>
      </w:r>
    </w:p>
    <w:p w14:paraId="17FB55F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账户开户费用、证券/期货等交易费用、基金财产划拨支付的银行费用、账户维护费、《基金合同》生效后的信息披露费用（但法律法规、中国证监会另有规定的除外）、基金份额持有人大会费用、《基金合同》生效后与基金有关的会计师费、律师费、诉讼费和仲裁费、因投资港股通标的股票而产生的各项合理费用等根据有关法律法规、《基金合同》及相应协议的规定，列入当期基金费用。</w:t>
      </w:r>
    </w:p>
    <w:p w14:paraId="201D1EE6"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（四）不列入基金费用的项目</w:t>
      </w:r>
    </w:p>
    <w:p w14:paraId="18372C4F" w14:textId="305423BC"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《基金合同》生效前的律师费、会计师费和信息披露费用不得从基金财产中</w:t>
      </w:r>
      <w:r w:rsidRPr="00960C25">
        <w:rPr>
          <w:rFonts w:asciiTheme="minorEastAsia" w:eastAsiaTheme="minorEastAsia" w:hAnsiTheme="minorEastAsia" w:cs="Arial" w:hint="eastAsia"/>
          <w:sz w:val="24"/>
        </w:rPr>
        <w:lastRenderedPageBreak/>
        <w:t>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17AB8282"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（五）基金管理费、基金托管费的调整</w:t>
      </w:r>
    </w:p>
    <w:p w14:paraId="29BA645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基金管理人和基金托管人协商一致并履行适当程序后可调整基金管理费率、基金托管费率。</w:t>
      </w:r>
    </w:p>
    <w:p w14:paraId="6EA8DA9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（六）基金管理费、基金托管费的复核程序、支付方式和时间</w:t>
      </w:r>
    </w:p>
    <w:p w14:paraId="5ED5A88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1.复核程序</w:t>
      </w:r>
    </w:p>
    <w:p w14:paraId="45AFBB6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基金托管人对基金管理人计提的基金管理费、基金托管费等，根据本托管协议和《基金合同》的有关规定进行复核。</w:t>
      </w:r>
    </w:p>
    <w:p w14:paraId="01B64A2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2.支付方式和时间</w:t>
      </w:r>
    </w:p>
    <w:p w14:paraId="494654F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费、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A36491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在首期支付基金管理费前，基金管理人应向基金托管人出具正式函件指定基金管理费的收款账户。基金管理人如需要变更此账户，应提前5个工作日向基金托管人出具书面的收款账户变更通知。</w:t>
      </w:r>
    </w:p>
    <w:p w14:paraId="7F9E110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（七）违规处理方式</w:t>
      </w:r>
    </w:p>
    <w:p w14:paraId="6DFF288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CAEC887" w14:textId="77777777" w:rsidR="00AB13AA" w:rsidRPr="00960C25" w:rsidRDefault="00AB13AA"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（八）实施侧袋机制期间的基金费用</w:t>
      </w:r>
    </w:p>
    <w:p w14:paraId="43F0CC29" w14:textId="184FB3AB" w:rsidR="00AB13AA" w:rsidRPr="00960C25" w:rsidRDefault="00AB13AA"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70C3BDA7" w14:textId="77777777" w:rsidR="00B07A76" w:rsidRPr="00960C25" w:rsidRDefault="00B07A76" w:rsidP="00960C25">
      <w:pPr>
        <w:adjustRightInd w:val="0"/>
        <w:snapToGrid w:val="0"/>
        <w:spacing w:line="360" w:lineRule="auto"/>
        <w:rPr>
          <w:rFonts w:asciiTheme="minorEastAsia" w:eastAsiaTheme="minorEastAsia" w:hAnsiTheme="minorEastAsia" w:cs="Arial"/>
          <w:sz w:val="24"/>
        </w:rPr>
      </w:pPr>
    </w:p>
    <w:p w14:paraId="204FA96E"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90" w:name="_Toc124325896"/>
      <w:r w:rsidRPr="00960C25">
        <w:rPr>
          <w:rFonts w:asciiTheme="minorEastAsia" w:eastAsiaTheme="minorEastAsia" w:hAnsiTheme="minorEastAsia" w:hint="eastAsia"/>
          <w:sz w:val="24"/>
          <w:szCs w:val="24"/>
        </w:rPr>
        <w:lastRenderedPageBreak/>
        <w:t>十二、基金份额持有人名册的保管</w:t>
      </w:r>
      <w:bookmarkEnd w:id="90"/>
    </w:p>
    <w:p w14:paraId="2B239AE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0FF9933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在基金托管人要求或编制中期报告和年度报告前，基金管理人应将有关资料送交基金托管人，不得无故拒绝或延误提供，并保证其真实性、准确性、完整性、及时性、简明性和易得性。基金托管人不得将所保管的基金份额持有人名册用于基金托管业务以外的其他用途，并应遵守保密义务。</w:t>
      </w:r>
    </w:p>
    <w:p w14:paraId="74925B68" w14:textId="77777777" w:rsidR="00B07A76" w:rsidRPr="00960C25" w:rsidRDefault="00B07A76" w:rsidP="00960C25">
      <w:pPr>
        <w:adjustRightInd w:val="0"/>
        <w:snapToGrid w:val="0"/>
        <w:spacing w:line="360" w:lineRule="auto"/>
        <w:rPr>
          <w:rFonts w:asciiTheme="minorEastAsia" w:eastAsiaTheme="minorEastAsia" w:hAnsiTheme="minorEastAsia" w:cs="Arial"/>
          <w:sz w:val="24"/>
        </w:rPr>
      </w:pPr>
    </w:p>
    <w:p w14:paraId="2DC9933A"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91" w:name="_Toc124325897"/>
      <w:r w:rsidRPr="00960C25">
        <w:rPr>
          <w:rFonts w:asciiTheme="minorEastAsia" w:eastAsiaTheme="minorEastAsia" w:hAnsiTheme="minorEastAsia" w:hint="eastAsia"/>
          <w:sz w:val="24"/>
          <w:szCs w:val="24"/>
        </w:rPr>
        <w:t>十三、基金有关文件档案的保存</w:t>
      </w:r>
      <w:bookmarkEnd w:id="91"/>
    </w:p>
    <w:p w14:paraId="2921E805"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（一）档案保存</w:t>
      </w:r>
    </w:p>
    <w:p w14:paraId="14CEDA6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5E9CE83F"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（二）合同档案的建立</w:t>
      </w:r>
    </w:p>
    <w:p w14:paraId="4486A26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1.基金管理人签署重大合同文本后，应及时将合同文本正本送达基金托管人处。</w:t>
      </w:r>
    </w:p>
    <w:p w14:paraId="7C10803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2.基金管理人应及时将与本基金账务处理、资金划拨等有关的合同、协议传真基金托管人。</w:t>
      </w:r>
    </w:p>
    <w:p w14:paraId="20138610"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（三）变更与协助</w:t>
      </w:r>
    </w:p>
    <w:p w14:paraId="280AE3C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b/>
          <w:bCs/>
          <w:sz w:val="24"/>
        </w:rPr>
      </w:pPr>
      <w:r w:rsidRPr="00960C25">
        <w:rPr>
          <w:rFonts w:asciiTheme="minorEastAsia" w:eastAsiaTheme="minorEastAsia" w:hAnsiTheme="minorEastAsia" w:cs="Arial" w:hint="eastAsia"/>
          <w:sz w:val="24"/>
        </w:rPr>
        <w:t>若基金管理人/基金托管人发生变更，未变更的一方有义务协助变更后的接任人接收相应文件。</w:t>
      </w:r>
    </w:p>
    <w:p w14:paraId="44D0826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（四）基金管理人和基金托管人应按各自职责完整保存原始凭证、记账凭证、基金账册、交易记录和重要合同等，承担保密义务并保存至少十五年以上。</w:t>
      </w:r>
    </w:p>
    <w:p w14:paraId="0E27D66E" w14:textId="77777777" w:rsidR="00B07A76" w:rsidRPr="00960C25" w:rsidRDefault="00B07A76" w:rsidP="00960C25">
      <w:pPr>
        <w:adjustRightInd w:val="0"/>
        <w:snapToGrid w:val="0"/>
        <w:spacing w:line="360" w:lineRule="auto"/>
        <w:rPr>
          <w:rFonts w:asciiTheme="minorEastAsia" w:eastAsiaTheme="minorEastAsia" w:hAnsiTheme="minorEastAsia"/>
          <w:sz w:val="24"/>
        </w:rPr>
      </w:pPr>
    </w:p>
    <w:p w14:paraId="2959FD19"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92" w:name="_Toc124325898"/>
      <w:r w:rsidRPr="00960C25">
        <w:rPr>
          <w:rFonts w:asciiTheme="minorEastAsia" w:eastAsiaTheme="minorEastAsia" w:hAnsiTheme="minorEastAsia" w:hint="eastAsia"/>
          <w:sz w:val="24"/>
          <w:szCs w:val="24"/>
        </w:rPr>
        <w:lastRenderedPageBreak/>
        <w:t>十四、基金管理人和基金托管人的更换</w:t>
      </w:r>
      <w:bookmarkEnd w:id="92"/>
    </w:p>
    <w:p w14:paraId="7C4F785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（一）基金管理人职责终止的情形</w:t>
      </w:r>
    </w:p>
    <w:p w14:paraId="0FC81CF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1.基金管理人职责终止的情形</w:t>
      </w:r>
    </w:p>
    <w:p w14:paraId="0B0BD95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有下列情形之一的，基金管理人职责终止：</w:t>
      </w:r>
    </w:p>
    <w:p w14:paraId="609CCAF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(1)被依法取消基金管理资格；</w:t>
      </w:r>
    </w:p>
    <w:p w14:paraId="7A2478E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(2)依法解散、被依法撤销或被依法宣告破产；</w:t>
      </w:r>
    </w:p>
    <w:p w14:paraId="643FB8D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(3)被基金份额持有人大会解任；</w:t>
      </w:r>
    </w:p>
    <w:p w14:paraId="7BA4134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(4)法律法规及中国证监会规定的和《基金合同》约定的其他情形。</w:t>
      </w:r>
    </w:p>
    <w:p w14:paraId="6083B96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2.基金管理人的更换程序</w:t>
      </w:r>
    </w:p>
    <w:p w14:paraId="386D342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更换基金管理人必须依照如下程序进行：</w:t>
      </w:r>
    </w:p>
    <w:p w14:paraId="5077C1A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(1)提名：新任基金管理人由基金托管人</w:t>
      </w:r>
      <w:r w:rsidRPr="00960C25">
        <w:rPr>
          <w:rFonts w:asciiTheme="minorEastAsia" w:eastAsiaTheme="minorEastAsia" w:hAnsiTheme="minorEastAsia" w:hint="eastAsia"/>
          <w:sz w:val="24"/>
        </w:rPr>
        <w:t>或由单独或合计持有10%以上(含10%)基金份额的基金份额持有人</w:t>
      </w:r>
      <w:r w:rsidRPr="00960C25">
        <w:rPr>
          <w:rFonts w:asciiTheme="minorEastAsia" w:eastAsiaTheme="minorEastAsia" w:hAnsiTheme="minorEastAsia" w:cs="Arial" w:hint="eastAsia"/>
          <w:sz w:val="24"/>
        </w:rPr>
        <w:t>提名；</w:t>
      </w:r>
    </w:p>
    <w:p w14:paraId="1D4CB73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231DEF3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(3)临时基金管理人：新任基金管理人产生之前，由中国证监会指定临时基金管理人；</w:t>
      </w:r>
    </w:p>
    <w:p w14:paraId="4E6E948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(4)备案：基金份额持有人大会选任基金管理人的决议须报中国证监会备案；</w:t>
      </w:r>
    </w:p>
    <w:p w14:paraId="0343E0F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(5)公告：基金管理人更换后，由基金托管人在更换基金管理人的基金份额持有人大会决议生效后2日内在规定媒介公告；</w:t>
      </w:r>
    </w:p>
    <w:p w14:paraId="5E1973B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14:paraId="1178F81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(7)审计：基金管理人职责终止的，应当按照法律法规规定聘请会计师事务所对基金财产进行审计，并将审计结果予以公告，同时报中国证监会备案，审计费用在基金财产中列支；</w:t>
      </w:r>
    </w:p>
    <w:p w14:paraId="68D3701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cs="Arial" w:hint="eastAsia"/>
          <w:sz w:val="24"/>
        </w:rPr>
        <w:t>(8)基金名称变更：基金管理人更换后，如果原任或新任基金管理人要求，应按其要求替换或删除基金名称中与原基金管理人有关的名称字样。</w:t>
      </w:r>
    </w:p>
    <w:p w14:paraId="127EF58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lastRenderedPageBreak/>
        <w:t>（二）基金托管人职责终止的情形</w:t>
      </w:r>
    </w:p>
    <w:p w14:paraId="2B9CE14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1.基金托管人职责终止的情形</w:t>
      </w:r>
    </w:p>
    <w:p w14:paraId="3C7A457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有下列情形之一的，基金托管人职责终止：</w:t>
      </w:r>
    </w:p>
    <w:p w14:paraId="39C7D1A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(1)被依法取消基金托管资格；</w:t>
      </w:r>
    </w:p>
    <w:p w14:paraId="41C3C5D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(2)依法解散、被依法撤销或被依法宣告破产；</w:t>
      </w:r>
    </w:p>
    <w:p w14:paraId="0E88D95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(3)被基金份额持有人大会解任；</w:t>
      </w:r>
    </w:p>
    <w:p w14:paraId="3305AB9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(4)法律法规及中国证监会规定的和《基金合同》约定的其他情形。</w:t>
      </w:r>
    </w:p>
    <w:p w14:paraId="7B950F1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2.基金托管人的更换程序</w:t>
      </w:r>
    </w:p>
    <w:p w14:paraId="207168A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(1)提名：新任基金托管人由基金管理人</w:t>
      </w:r>
      <w:r w:rsidRPr="00960C25">
        <w:rPr>
          <w:rFonts w:asciiTheme="minorEastAsia" w:eastAsiaTheme="minorEastAsia" w:hAnsiTheme="minorEastAsia" w:hint="eastAsia"/>
          <w:sz w:val="24"/>
        </w:rPr>
        <w:t>或由单独或合计持有10%以上(含10%)基金份额的基金份额持有人</w:t>
      </w:r>
      <w:r w:rsidRPr="00960C25">
        <w:rPr>
          <w:rFonts w:asciiTheme="minorEastAsia" w:eastAsiaTheme="minorEastAsia" w:hAnsiTheme="minorEastAsia" w:cs="Arial" w:hint="eastAsia"/>
          <w:sz w:val="24"/>
        </w:rPr>
        <w:t>提名；</w:t>
      </w:r>
    </w:p>
    <w:p w14:paraId="39C9CE6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DFF19B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(3)临时基金托管人：新任基金托管人产生之前，由中国证监会指定临时基金托管人；</w:t>
      </w:r>
    </w:p>
    <w:p w14:paraId="0E891C2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(4)备案：基金份额持有人大会更换基金托管人的决议须报中国证监会备案；</w:t>
      </w:r>
    </w:p>
    <w:p w14:paraId="3D08D16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(5)公告：基金托管人更换后，由基金管理人在更换基金托管人的基金份额持有人大会决议生效后 2日内在规定媒介公告；</w:t>
      </w:r>
    </w:p>
    <w:p w14:paraId="1655B40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基金资产净值；</w:t>
      </w:r>
    </w:p>
    <w:p w14:paraId="70E8746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(7)审计：基金托管人职责终止的，应当按照法律法规规定聘请会计师事务所对基金财产进行审计，并将审计结果予以公告，同时报中国证监会备案。</w:t>
      </w:r>
    </w:p>
    <w:p w14:paraId="20C6FAB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（三）基金管理人与基金托管人同时更换的条件和程序</w:t>
      </w:r>
    </w:p>
    <w:p w14:paraId="0C8D5A8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1.提名：如果基金管理人和基金托管人同时更换，由单独或合计持有基金总份额10%以上(含10%)的基金份额持有人提名新的基金管理人和基金托管人；</w:t>
      </w:r>
    </w:p>
    <w:p w14:paraId="25D7E12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2.基金管理人和基金托管人的更换分别按上述程序进行；</w:t>
      </w:r>
    </w:p>
    <w:p w14:paraId="65E4D69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3.公告：新任基金管理人和新任基金托管人应在更换基金管理人和基金托管人的基金份额持有人大会决议生效后2日内在规定媒介上联合公告。</w:t>
      </w:r>
    </w:p>
    <w:p w14:paraId="1709B87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lastRenderedPageBreak/>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6AF5D9D5" w14:textId="77777777" w:rsidR="00B07A76" w:rsidRPr="00960C25" w:rsidRDefault="00B07A76" w:rsidP="00960C25">
      <w:pPr>
        <w:adjustRightInd w:val="0"/>
        <w:snapToGrid w:val="0"/>
        <w:spacing w:line="360" w:lineRule="auto"/>
        <w:rPr>
          <w:rFonts w:asciiTheme="minorEastAsia" w:eastAsiaTheme="minorEastAsia" w:hAnsiTheme="minorEastAsia" w:cs="Arial"/>
          <w:sz w:val="24"/>
        </w:rPr>
      </w:pPr>
    </w:p>
    <w:p w14:paraId="74B2BA36"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93" w:name="_Toc124325899"/>
      <w:r w:rsidRPr="00960C25">
        <w:rPr>
          <w:rFonts w:asciiTheme="minorEastAsia" w:eastAsiaTheme="minorEastAsia" w:hAnsiTheme="minorEastAsia" w:hint="eastAsia"/>
          <w:sz w:val="24"/>
          <w:szCs w:val="24"/>
        </w:rPr>
        <w:t>十五、禁止行为</w:t>
      </w:r>
      <w:bookmarkEnd w:id="93"/>
    </w:p>
    <w:p w14:paraId="079E90F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本协议当事人禁止从事的行为，包括但不限于：</w:t>
      </w:r>
    </w:p>
    <w:p w14:paraId="692B59F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（一）基金管理人、基金托管人将其固有财产或者他人财产混同于基金财产从事证券投资。</w:t>
      </w:r>
    </w:p>
    <w:p w14:paraId="3F2778E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（二）基金管理人不公平地对待其管理的不同基金财产，基金托管人不公平地对待其托管的不同基金财产。</w:t>
      </w:r>
    </w:p>
    <w:p w14:paraId="6857034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（三）基金管理人、基金托管人利用基金财产为基金份额持有人以外的第三人牟取利益。</w:t>
      </w:r>
    </w:p>
    <w:p w14:paraId="6D2572D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（四）基金管理人、基金托管人向基金份额持有人违规承诺收益或者承担损失。</w:t>
      </w:r>
    </w:p>
    <w:p w14:paraId="50B376D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（五）基金管理人、基金托管人对他人泄漏基金运作和管理过程中任何尚未按法律法规规定的方式公开披露的信息。</w:t>
      </w:r>
    </w:p>
    <w:p w14:paraId="0FE34D7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（六）基金管理人在没有充足资金的情况下向基金托管人发出投资指令和赎回、分红资金的划拨指令，或违规向基金托管人发出指令。</w:t>
      </w:r>
    </w:p>
    <w:p w14:paraId="1E1F4731"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（七）基金管理人、基金托管人在行政上、财务上不独立, 其高级管理人员和其他从业人员相互兼职。</w:t>
      </w:r>
    </w:p>
    <w:p w14:paraId="30FAD36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（八）基金托管人私自动用或处分基金财产，根据基金管理人的合法指令、《基金合同》或托管协议的规定进行处分的除外。</w:t>
      </w:r>
    </w:p>
    <w:p w14:paraId="218DF86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九）基金财产用于下列投资或者活动：1.承销证券；2.违反规定向他人贷款或者提供担保；3.从事承担无限责任的投资；4.买卖其他基金份额，但是法律法规或中国证监会另有规定的除外；5.向其基金管理人、基金托管人出资；6.从事内幕交易、操纵证券交易价格及其他不正当的证券交易活动；7.法律、行政法规和中国证监会规定禁止的其他活动。法律、行政法规或监管部门取消或变更上述限制，如适用于本基金，基金管理人在履行适当程序后，则本基金投资不再受相关限制或以变更后的规定为准。</w:t>
      </w:r>
    </w:p>
    <w:p w14:paraId="5E7E7DC6"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lastRenderedPageBreak/>
        <w:t>（十）法律法规和《基金合同》禁止的其他行为，以及依照法律、行政法规有关规定，由中国证监会规定禁止基金管理人、基金托管人从事的其他行为。</w:t>
      </w:r>
    </w:p>
    <w:p w14:paraId="35ABFB48" w14:textId="77777777" w:rsidR="00B07A76" w:rsidRPr="00960C25" w:rsidRDefault="00B07A76" w:rsidP="00960C25">
      <w:pPr>
        <w:adjustRightInd w:val="0"/>
        <w:snapToGrid w:val="0"/>
        <w:spacing w:line="360" w:lineRule="auto"/>
        <w:rPr>
          <w:rFonts w:asciiTheme="minorEastAsia" w:eastAsiaTheme="minorEastAsia" w:hAnsiTheme="minorEastAsia"/>
          <w:sz w:val="24"/>
        </w:rPr>
      </w:pPr>
    </w:p>
    <w:p w14:paraId="21D3D7A5"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94" w:name="_Toc124325900"/>
      <w:r w:rsidRPr="00960C25">
        <w:rPr>
          <w:rFonts w:asciiTheme="minorEastAsia" w:eastAsiaTheme="minorEastAsia" w:hAnsiTheme="minorEastAsia" w:hint="eastAsia"/>
          <w:sz w:val="24"/>
          <w:szCs w:val="24"/>
        </w:rPr>
        <w:t>十六、托管协议的变更、终止与基金财产的清算</w:t>
      </w:r>
      <w:bookmarkEnd w:id="94"/>
    </w:p>
    <w:p w14:paraId="57048A4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（一）托管协议的变更程序</w:t>
      </w:r>
    </w:p>
    <w:p w14:paraId="643A1F4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cs="Arial" w:hint="eastAsia"/>
          <w:sz w:val="24"/>
        </w:rPr>
        <w:t>本协议双方当事人经协商一致，可以对协议进行修改。修改后的新协议，其内容不得与《基金合同》的规定有任何冲突。基金托管协议的变更报中国证监会备案。</w:t>
      </w:r>
    </w:p>
    <w:p w14:paraId="24CFFF2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（二）托管协议终止的情形</w:t>
      </w:r>
    </w:p>
    <w:p w14:paraId="5A7C52C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1.《基金合同》终止；</w:t>
      </w:r>
    </w:p>
    <w:p w14:paraId="6E7FC34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2.基金托管人解散、依法被撤销、破产或由其他基金托管人接管基金资产；</w:t>
      </w:r>
    </w:p>
    <w:p w14:paraId="36735CBA"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3.基金管理人解散、依法被撤销、破产或由其他基金管理人接管基金管理权；</w:t>
      </w:r>
    </w:p>
    <w:p w14:paraId="02B90EA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4.发生法律法规或《基金合同》规定的终止事项。</w:t>
      </w:r>
    </w:p>
    <w:p w14:paraId="1073262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（三）基金财产的清算</w:t>
      </w:r>
    </w:p>
    <w:p w14:paraId="2C8AB28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sz w:val="24"/>
        </w:rPr>
        <w:t>1</w:t>
      </w:r>
      <w:r w:rsidRPr="00960C25">
        <w:rPr>
          <w:rFonts w:asciiTheme="minorEastAsia" w:eastAsiaTheme="minorEastAsia" w:hAnsiTheme="minorEastAsia" w:cs="Arial" w:hint="eastAsia"/>
          <w:sz w:val="24"/>
        </w:rPr>
        <w:t>.基金财产清算小组：自出现《基金合同》终止事由之日起</w:t>
      </w:r>
      <w:r w:rsidRPr="00960C25">
        <w:rPr>
          <w:rFonts w:asciiTheme="minorEastAsia" w:eastAsiaTheme="minorEastAsia" w:hAnsiTheme="minorEastAsia" w:cs="Arial"/>
          <w:sz w:val="24"/>
        </w:rPr>
        <w:t>30</w:t>
      </w:r>
      <w:r w:rsidRPr="00960C25">
        <w:rPr>
          <w:rFonts w:asciiTheme="minorEastAsia" w:eastAsiaTheme="minorEastAsia" w:hAnsiTheme="minorEastAsia" w:cs="Arial" w:hint="eastAsia"/>
          <w:sz w:val="24"/>
        </w:rPr>
        <w:t>个工作日内成立清算小组，基金管理人组织基金财产清算小组并在中国证监会的监督下进行基金清算。</w:t>
      </w:r>
    </w:p>
    <w:p w14:paraId="5FF0D80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sz w:val="24"/>
        </w:rPr>
        <w:t>2.</w:t>
      </w:r>
      <w:r w:rsidRPr="00960C25">
        <w:rPr>
          <w:rFonts w:asciiTheme="minorEastAsia" w:eastAsiaTheme="minorEastAsia" w:hAnsiTheme="minorEastAsia" w:cs="Arial" w:hint="eastAsia"/>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59BD08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sz w:val="24"/>
        </w:rPr>
        <w:t>3</w:t>
      </w:r>
      <w:r w:rsidRPr="00960C25">
        <w:rPr>
          <w:rFonts w:asciiTheme="minorEastAsia" w:eastAsiaTheme="minorEastAsia" w:hAnsiTheme="minorEastAsia" w:cs="Arial" w:hint="eastAsia"/>
          <w:sz w:val="24"/>
        </w:rPr>
        <w:t>.基金财产清算小组职责：基金财产清算小组负责基金财产的保管、清理、估价、变现和分配。基金财产清算小组可以依法进行必要的民事活动。</w:t>
      </w:r>
    </w:p>
    <w:p w14:paraId="359C3C1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4.基金财产清算程序：</w:t>
      </w:r>
    </w:p>
    <w:p w14:paraId="45B9FEC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(1)《基金合同》终止情形出现时，由基金财产清算小组统一接管基金；</w:t>
      </w:r>
    </w:p>
    <w:p w14:paraId="0B7093A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(2)对基金财产和债权债务进行清理和确认；</w:t>
      </w:r>
    </w:p>
    <w:p w14:paraId="78DE3D3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(3)对基金财产进行估值和变现；</w:t>
      </w:r>
    </w:p>
    <w:p w14:paraId="00DE8FD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(4)制作清算报告；</w:t>
      </w:r>
    </w:p>
    <w:p w14:paraId="7540FB8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(5)聘请会计师事务所对清算报告进行外部审计，聘请律师事务所对清算报告出具法律意见书；</w:t>
      </w:r>
    </w:p>
    <w:p w14:paraId="58FD59E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lastRenderedPageBreak/>
        <w:t>(6)将清算报告报中国证监会备案并公告；</w:t>
      </w:r>
    </w:p>
    <w:p w14:paraId="0A6E063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(7)对基金剩余财产进行分配。</w:t>
      </w:r>
    </w:p>
    <w:p w14:paraId="39F096DD"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5.基金财产清算的期限为</w:t>
      </w:r>
      <w:r w:rsidRPr="00960C25">
        <w:rPr>
          <w:rFonts w:asciiTheme="minorEastAsia" w:eastAsiaTheme="minorEastAsia" w:hAnsiTheme="minorEastAsia" w:cs="Arial"/>
          <w:sz w:val="24"/>
        </w:rPr>
        <w:t>6</w:t>
      </w:r>
      <w:r w:rsidRPr="00960C25">
        <w:rPr>
          <w:rFonts w:asciiTheme="minorEastAsia" w:eastAsiaTheme="minorEastAsia" w:hAnsiTheme="minorEastAsia" w:cs="Arial" w:hint="eastAsia"/>
          <w:sz w:val="24"/>
        </w:rPr>
        <w:t>个月，但因本基金所持证券的流动性受到限制而不能及时变现的，清算期限相应顺延。</w:t>
      </w:r>
    </w:p>
    <w:p w14:paraId="5DD868E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6.清算费用</w:t>
      </w:r>
    </w:p>
    <w:p w14:paraId="523E920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清算费用是指基金财产清算小组在进行基金财产清算过程中发生的所有合理费用，清算费用由基金财产清算小组优先从基金财产中支付。</w:t>
      </w:r>
    </w:p>
    <w:p w14:paraId="45761F3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7.基金财产清算剩余资产的分配：</w:t>
      </w:r>
    </w:p>
    <w:p w14:paraId="5F99668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1AFF8DE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8.基金财产清算的公告</w:t>
      </w:r>
    </w:p>
    <w:p w14:paraId="58F2D11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960C25">
        <w:rPr>
          <w:rFonts w:asciiTheme="minorEastAsia" w:eastAsiaTheme="minorEastAsia" w:hAnsiTheme="minorEastAsia" w:cs="Arial"/>
          <w:sz w:val="24"/>
        </w:rPr>
        <w:t>5</w:t>
      </w:r>
      <w:r w:rsidRPr="00960C25">
        <w:rPr>
          <w:rFonts w:asciiTheme="minorEastAsia" w:eastAsiaTheme="minorEastAsia" w:hAnsiTheme="minorEastAsia" w:cs="Arial" w:hint="eastAsia"/>
          <w:sz w:val="24"/>
        </w:rPr>
        <w:t>个工作日内由基金财产清算小组进行公告，基金财产清算小组应当将清算报告登载在规定网站上，并将清算报告提示性公告登载在规定报刊上。</w:t>
      </w:r>
    </w:p>
    <w:p w14:paraId="764C762F"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9.基金财产清算账册及文件的保存</w:t>
      </w:r>
    </w:p>
    <w:p w14:paraId="6E5EDB90"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基金财产清算账册及有关文件由基金托管人保存15年以上。</w:t>
      </w:r>
    </w:p>
    <w:p w14:paraId="481A1222" w14:textId="77777777" w:rsidR="00B07A76" w:rsidRPr="00960C25" w:rsidRDefault="00B07A76" w:rsidP="00960C25">
      <w:pPr>
        <w:adjustRightInd w:val="0"/>
        <w:snapToGrid w:val="0"/>
        <w:spacing w:line="360" w:lineRule="auto"/>
        <w:rPr>
          <w:rFonts w:asciiTheme="minorEastAsia" w:eastAsiaTheme="minorEastAsia" w:hAnsiTheme="minorEastAsia" w:cs="Arial"/>
          <w:sz w:val="24"/>
        </w:rPr>
      </w:pPr>
    </w:p>
    <w:p w14:paraId="2B366EB5"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95" w:name="_Toc124325901"/>
      <w:r w:rsidRPr="00960C25">
        <w:rPr>
          <w:rFonts w:asciiTheme="minorEastAsia" w:eastAsiaTheme="minorEastAsia" w:hAnsiTheme="minorEastAsia" w:hint="eastAsia"/>
          <w:sz w:val="24"/>
          <w:szCs w:val="24"/>
        </w:rPr>
        <w:t>十七、违约责任</w:t>
      </w:r>
      <w:bookmarkEnd w:id="95"/>
    </w:p>
    <w:p w14:paraId="6241CCC0"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（一）基金管理人、基金托管人不履行本协议或履行本协议不符合约定的，应当承担违约责任。</w:t>
      </w:r>
    </w:p>
    <w:p w14:paraId="1158C808"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5FE8C10"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（三）一方当事人违约，给另一方当事人造成损失的，应就直接损失进行赔偿；给基金财产造成损失的，应就直接损失进行赔偿，另一方当事人有权利及义</w:t>
      </w:r>
      <w:r w:rsidRPr="00960C25">
        <w:rPr>
          <w:rFonts w:asciiTheme="minorEastAsia" w:eastAsiaTheme="minorEastAsia" w:hAnsiTheme="minorEastAsia" w:cs="Arial" w:hint="eastAsia"/>
          <w:sz w:val="24"/>
        </w:rPr>
        <w:lastRenderedPageBreak/>
        <w:t>务代表基金向违约方追偿。但是如发生下列情况，当事人免责：</w:t>
      </w:r>
    </w:p>
    <w:p w14:paraId="614FFB4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1.不可抗力；</w:t>
      </w:r>
    </w:p>
    <w:p w14:paraId="5467DF35"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2.基金管理人、基金托管人按照当时有效的法律法规或中国证监会的规定作为或不作为而造成的损失等；</w:t>
      </w:r>
    </w:p>
    <w:p w14:paraId="2FEADD3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3.在没有过错的情况下，基金管理人由于按照《基金合同》规定的投资原则投资或不投资造成的直接损失或潜在损失等；</w:t>
      </w:r>
    </w:p>
    <w:p w14:paraId="6035E644"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4.非因基金管理人、基金托管人的故意或重大过失造成的计算机系统故障、网络故障、通讯故障、电力故障、计算机病毒攻击及其它意外事故所导致的损失等。</w:t>
      </w:r>
    </w:p>
    <w:p w14:paraId="0ECFA3A3"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EC54B07"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（五）违约行为虽已发生，但本托管协议能够继续履行的，在最大限度地保护基金份额持有人利益的前提下，基金管理人和基金托管人应当继续履行本协议。</w:t>
      </w:r>
    </w:p>
    <w:p w14:paraId="01DC28D5" w14:textId="77777777" w:rsidR="00B07A76" w:rsidRPr="00960C25" w:rsidRDefault="005916C4" w:rsidP="00960C25">
      <w:pPr>
        <w:adjustRightInd w:val="0"/>
        <w:snapToGrid w:val="0"/>
        <w:spacing w:line="360" w:lineRule="auto"/>
        <w:ind w:firstLineChars="200" w:firstLine="480"/>
        <w:outlineLvl w:val="0"/>
        <w:rPr>
          <w:rFonts w:asciiTheme="minorEastAsia" w:eastAsiaTheme="minorEastAsia" w:hAnsiTheme="minorEastAsia" w:cs="Arial"/>
          <w:sz w:val="24"/>
        </w:rPr>
      </w:pPr>
      <w:r w:rsidRPr="00960C25">
        <w:rPr>
          <w:rFonts w:asciiTheme="minorEastAsia" w:eastAsiaTheme="minorEastAsia" w:hAnsiTheme="minorEastAsia"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6172C52" w14:textId="77777777" w:rsidR="00B07A76" w:rsidRPr="00960C25" w:rsidRDefault="00B07A76" w:rsidP="00960C25">
      <w:pPr>
        <w:adjustRightInd w:val="0"/>
        <w:snapToGrid w:val="0"/>
        <w:spacing w:line="360" w:lineRule="auto"/>
        <w:outlineLvl w:val="0"/>
        <w:rPr>
          <w:rFonts w:asciiTheme="minorEastAsia" w:eastAsiaTheme="minorEastAsia" w:hAnsiTheme="minorEastAsia" w:cs="Arial"/>
          <w:sz w:val="24"/>
        </w:rPr>
      </w:pPr>
    </w:p>
    <w:p w14:paraId="720C47CA"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96" w:name="_Toc124325902"/>
      <w:r w:rsidRPr="00960C25">
        <w:rPr>
          <w:rFonts w:asciiTheme="minorEastAsia" w:eastAsiaTheme="minorEastAsia" w:hAnsiTheme="minorEastAsia" w:hint="eastAsia"/>
          <w:sz w:val="24"/>
          <w:szCs w:val="24"/>
        </w:rPr>
        <w:t>十八、争议解决方式</w:t>
      </w:r>
      <w:bookmarkEnd w:id="96"/>
    </w:p>
    <w:p w14:paraId="5C2B06D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9B26D0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争议处理期间，双方当事人应恪守基金管理人和基金托管人职责，各自继续忠实、勤勉、尽责地履行《基金合同》和本托管协议规定的义务，维护基金份额持有人的合法权益。</w:t>
      </w:r>
    </w:p>
    <w:p w14:paraId="4D0E6ABB"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本协议受中国法律（为本协议之目的，在此不包括香港、澳门特别行政区和</w:t>
      </w:r>
      <w:r w:rsidRPr="00960C25">
        <w:rPr>
          <w:rFonts w:asciiTheme="minorEastAsia" w:eastAsiaTheme="minorEastAsia" w:hAnsiTheme="minorEastAsia" w:cs="Arial" w:hint="eastAsia"/>
          <w:sz w:val="24"/>
        </w:rPr>
        <w:lastRenderedPageBreak/>
        <w:t>台湾地区法律）管辖。</w:t>
      </w:r>
    </w:p>
    <w:p w14:paraId="3D216E10" w14:textId="77777777" w:rsidR="00B07A76" w:rsidRPr="00960C25" w:rsidRDefault="00B07A76" w:rsidP="00960C25">
      <w:pPr>
        <w:adjustRightInd w:val="0"/>
        <w:snapToGrid w:val="0"/>
        <w:spacing w:line="360" w:lineRule="auto"/>
        <w:rPr>
          <w:rFonts w:asciiTheme="minorEastAsia" w:eastAsiaTheme="minorEastAsia" w:hAnsiTheme="minorEastAsia" w:cs="Arial"/>
          <w:sz w:val="24"/>
        </w:rPr>
      </w:pPr>
    </w:p>
    <w:p w14:paraId="46882564"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97" w:name="_Toc124325903"/>
      <w:r w:rsidRPr="00960C25">
        <w:rPr>
          <w:rFonts w:asciiTheme="minorEastAsia" w:eastAsiaTheme="minorEastAsia" w:hAnsiTheme="minorEastAsia" w:hint="eastAsia"/>
          <w:sz w:val="24"/>
          <w:szCs w:val="24"/>
        </w:rPr>
        <w:t>十九、托管协议的效力</w:t>
      </w:r>
      <w:bookmarkEnd w:id="97"/>
    </w:p>
    <w:p w14:paraId="700F5567"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双方对托管协议的效力约定如下：</w:t>
      </w:r>
    </w:p>
    <w:p w14:paraId="174C35B9"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61B5C3D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（二）托管协议自《基金合同》成立之日起成立，自《基金合同》生效之日起生效。托管协议的有效期自其生效之日起至基金财产清算结果报中国证监会备案并公告之日止。</w:t>
      </w:r>
    </w:p>
    <w:p w14:paraId="1527BDF8"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（三）托管协议自生效之日起对托管协议当事人具有同等的法律约束力。</w:t>
      </w:r>
    </w:p>
    <w:p w14:paraId="30AF8DEA" w14:textId="35EF7D10"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cs="Arial" w:hint="eastAsia"/>
          <w:sz w:val="24"/>
        </w:rPr>
        <w:t>（四）本协议一</w:t>
      </w:r>
      <w:r w:rsidR="00CA3B58" w:rsidRPr="00960C25">
        <w:rPr>
          <w:rFonts w:asciiTheme="minorEastAsia" w:eastAsiaTheme="minorEastAsia" w:hAnsiTheme="minorEastAsia" w:cs="Arial" w:hint="eastAsia"/>
          <w:sz w:val="24"/>
        </w:rPr>
        <w:t>式</w:t>
      </w:r>
      <w:r w:rsidRPr="00960C25">
        <w:rPr>
          <w:rFonts w:asciiTheme="minorEastAsia" w:eastAsiaTheme="minorEastAsia" w:hAnsiTheme="minorEastAsia" w:cs="Arial" w:hint="eastAsia"/>
          <w:sz w:val="24"/>
        </w:rPr>
        <w:t>四份，基金管理人持有一份、基金托管人持有二份，上报监管机构一份，每份具有同等的法律效力。</w:t>
      </w:r>
    </w:p>
    <w:p w14:paraId="59E41409" w14:textId="77777777" w:rsidR="00B07A76" w:rsidRPr="00960C25" w:rsidRDefault="00B07A76" w:rsidP="00960C25">
      <w:pPr>
        <w:adjustRightInd w:val="0"/>
        <w:snapToGrid w:val="0"/>
        <w:spacing w:line="360" w:lineRule="auto"/>
        <w:rPr>
          <w:rFonts w:asciiTheme="minorEastAsia" w:eastAsiaTheme="minorEastAsia" w:hAnsiTheme="minorEastAsia" w:cs="Arial"/>
          <w:sz w:val="24"/>
        </w:rPr>
      </w:pPr>
    </w:p>
    <w:p w14:paraId="1DE188CB"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98" w:name="_Toc124325904"/>
      <w:r w:rsidRPr="00960C25">
        <w:rPr>
          <w:rFonts w:asciiTheme="minorEastAsia" w:eastAsiaTheme="minorEastAsia" w:hAnsiTheme="minorEastAsia" w:hint="eastAsia"/>
          <w:sz w:val="24"/>
          <w:szCs w:val="24"/>
        </w:rPr>
        <w:t>二十、其他事项</w:t>
      </w:r>
      <w:bookmarkEnd w:id="98"/>
    </w:p>
    <w:p w14:paraId="7049A052"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如发生有权司法机关依法冻结基金份额持有人的基金份额时，基金管理人应予以配合，承担司法协助义务。</w:t>
      </w:r>
    </w:p>
    <w:p w14:paraId="53985C0E"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cs="Arial"/>
          <w:sz w:val="24"/>
        </w:rPr>
      </w:pPr>
      <w:r w:rsidRPr="00960C25">
        <w:rPr>
          <w:rFonts w:asciiTheme="minorEastAsia" w:eastAsiaTheme="minorEastAsia" w:hAnsiTheme="minorEastAsia" w:cs="Arial" w:hint="eastAsia"/>
          <w:sz w:val="24"/>
        </w:rPr>
        <w:t>除本协议有明确定义外，本协议的用语定义适用《基金合同》的约定。本协议未尽事宜，当事人依据《基金合同》、有关法律法规等规定协商办理。</w:t>
      </w:r>
    </w:p>
    <w:p w14:paraId="17105F14" w14:textId="77777777" w:rsidR="00B07A76" w:rsidRPr="00960C25" w:rsidRDefault="00B07A76" w:rsidP="00960C25">
      <w:pPr>
        <w:adjustRightInd w:val="0"/>
        <w:snapToGrid w:val="0"/>
        <w:spacing w:line="360" w:lineRule="auto"/>
        <w:rPr>
          <w:rFonts w:asciiTheme="minorEastAsia" w:eastAsiaTheme="minorEastAsia" w:hAnsiTheme="minorEastAsia"/>
          <w:b/>
          <w:bCs/>
          <w:sz w:val="24"/>
        </w:rPr>
      </w:pPr>
    </w:p>
    <w:p w14:paraId="6A1C3B82" w14:textId="77777777" w:rsidR="00B07A76" w:rsidRPr="00960C25" w:rsidRDefault="005916C4" w:rsidP="00960C25">
      <w:pPr>
        <w:pStyle w:val="2"/>
        <w:spacing w:line="360" w:lineRule="auto"/>
        <w:jc w:val="center"/>
        <w:rPr>
          <w:rFonts w:asciiTheme="minorEastAsia" w:eastAsiaTheme="minorEastAsia" w:hAnsiTheme="minorEastAsia"/>
          <w:sz w:val="24"/>
          <w:szCs w:val="24"/>
        </w:rPr>
      </w:pPr>
      <w:bookmarkStart w:id="99" w:name="_Toc124325905"/>
      <w:r w:rsidRPr="00960C25">
        <w:rPr>
          <w:rFonts w:asciiTheme="minorEastAsia" w:eastAsiaTheme="minorEastAsia" w:hAnsiTheme="minorEastAsia" w:hint="eastAsia"/>
          <w:sz w:val="24"/>
          <w:szCs w:val="24"/>
        </w:rPr>
        <w:t>二十一、托管协议的签订</w:t>
      </w:r>
      <w:bookmarkEnd w:id="99"/>
    </w:p>
    <w:p w14:paraId="5823E1BC" w14:textId="77777777" w:rsidR="00B07A76" w:rsidRPr="00960C25" w:rsidRDefault="005916C4" w:rsidP="00960C25">
      <w:pPr>
        <w:adjustRightInd w:val="0"/>
        <w:snapToGrid w:val="0"/>
        <w:spacing w:line="360" w:lineRule="auto"/>
        <w:ind w:firstLineChars="200" w:firstLine="480"/>
        <w:rPr>
          <w:rFonts w:asciiTheme="minorEastAsia" w:eastAsiaTheme="minorEastAsia" w:hAnsiTheme="minorEastAsia"/>
          <w:sz w:val="24"/>
        </w:rPr>
      </w:pPr>
      <w:r w:rsidRPr="00960C25">
        <w:rPr>
          <w:rFonts w:asciiTheme="minorEastAsia" w:eastAsiaTheme="minorEastAsia" w:hAnsiTheme="minorEastAsia" w:cs="Arial" w:hint="eastAsia"/>
          <w:sz w:val="24"/>
        </w:rPr>
        <w:t>本协议双方法定代表人或授权代表签章、签订地、签订日</w:t>
      </w:r>
    </w:p>
    <w:sectPr w:rsidR="00B07A76" w:rsidRPr="00960C25" w:rsidSect="00075AB1">
      <w:headerReference w:type="default" r:id="rId10"/>
      <w:footerReference w:type="default" r:id="rId11"/>
      <w:pgSz w:w="11906" w:h="16838"/>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2E055" w14:textId="77777777" w:rsidR="00C50074" w:rsidRDefault="00C50074">
      <w:r>
        <w:separator/>
      </w:r>
    </w:p>
  </w:endnote>
  <w:endnote w:type="continuationSeparator" w:id="0">
    <w:p w14:paraId="4B95BD64" w14:textId="77777777" w:rsidR="00C50074" w:rsidRDefault="00C5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2986C" w14:textId="77777777" w:rsidR="00A56E28" w:rsidRDefault="00A56E28">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ECE3348" w14:textId="77777777" w:rsidR="00A56E28" w:rsidRDefault="00A56E2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42149"/>
      <w:docPartObj>
        <w:docPartGallery w:val="Page Numbers (Bottom of Page)"/>
        <w:docPartUnique/>
      </w:docPartObj>
    </w:sdtPr>
    <w:sdtEndPr/>
    <w:sdtContent>
      <w:p w14:paraId="47744FA8" w14:textId="0972D010" w:rsidR="00A56E28" w:rsidRDefault="00A56E28">
        <w:pPr>
          <w:pStyle w:val="a8"/>
          <w:jc w:val="center"/>
        </w:pPr>
        <w:r>
          <w:fldChar w:fldCharType="begin"/>
        </w:r>
        <w:r>
          <w:instrText>PAGE   \* MERGEFORMAT</w:instrText>
        </w:r>
        <w:r>
          <w:fldChar w:fldCharType="separate"/>
        </w:r>
        <w:r w:rsidR="00A72B51" w:rsidRPr="00A72B51">
          <w:rPr>
            <w:noProof/>
            <w:lang w:val="zh-CN"/>
          </w:rPr>
          <w:t>39</w:t>
        </w:r>
        <w:r>
          <w:fldChar w:fldCharType="end"/>
        </w:r>
      </w:p>
    </w:sdtContent>
  </w:sdt>
  <w:p w14:paraId="5CDA3D91" w14:textId="77777777" w:rsidR="00A56E28" w:rsidRDefault="00A56E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BC666" w14:textId="77777777" w:rsidR="00C50074" w:rsidRDefault="00C50074">
      <w:r>
        <w:separator/>
      </w:r>
    </w:p>
  </w:footnote>
  <w:footnote w:type="continuationSeparator" w:id="0">
    <w:p w14:paraId="25404AFC" w14:textId="77777777" w:rsidR="00C50074" w:rsidRDefault="00C50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E9CFC" w14:textId="32E3B48A" w:rsidR="00A56E28" w:rsidRDefault="00A56E28">
    <w:pPr>
      <w:pStyle w:val="a9"/>
    </w:pPr>
    <w:r w:rsidRPr="009F0C1D">
      <w:rPr>
        <w:rFonts w:hint="eastAsia"/>
      </w:rPr>
      <w:t>汇添富稳进双盈一年持有期混合型证券投资基金</w:t>
    </w:r>
    <w:r w:rsidRPr="009F0C1D">
      <w:rPr>
        <w:rFonts w:hint="eastAsia"/>
      </w:rPr>
      <w:t xml:space="preserve">                </w:t>
    </w:r>
    <w:r w:rsidR="00D17022">
      <w:t xml:space="preserve">                       </w:t>
    </w:r>
    <w:r w:rsidRPr="009F0C1D">
      <w:rPr>
        <w:rFonts w:hint="eastAsia"/>
      </w:rPr>
      <w:t xml:space="preserve">     </w:t>
    </w:r>
    <w:r w:rsidRPr="009F0C1D">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4D7ED" w14:textId="6F9441F0" w:rsidR="00A56E28" w:rsidRDefault="00A56E28">
    <w:pPr>
      <w:pStyle w:val="a9"/>
    </w:pPr>
    <w:r>
      <w:rPr>
        <w:rFonts w:hint="eastAsia"/>
      </w:rPr>
      <w:t>汇添富稳进双盈一年持有期混合型证券投资基金</w:t>
    </w:r>
    <w:r>
      <w:rPr>
        <w:rFonts w:hint="eastAsia"/>
      </w:rPr>
      <w:t xml:space="preserve">              </w:t>
    </w:r>
    <w:r w:rsidR="00D17022">
      <w:t xml:space="preserve">                       </w:t>
    </w:r>
    <w:r>
      <w:rPr>
        <w:rFonts w:hint="eastAsia"/>
      </w:rPr>
      <w:t xml:space="preserve">       </w:t>
    </w: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16"/>
    <w:rsid w:val="000167A2"/>
    <w:rsid w:val="00023E28"/>
    <w:rsid w:val="00046861"/>
    <w:rsid w:val="00060628"/>
    <w:rsid w:val="00075AB1"/>
    <w:rsid w:val="000819E6"/>
    <w:rsid w:val="000872E0"/>
    <w:rsid w:val="000C189B"/>
    <w:rsid w:val="000E7DD8"/>
    <w:rsid w:val="00100C89"/>
    <w:rsid w:val="00122BC1"/>
    <w:rsid w:val="00122FF9"/>
    <w:rsid w:val="001604EC"/>
    <w:rsid w:val="001746EB"/>
    <w:rsid w:val="00181AC8"/>
    <w:rsid w:val="001D1A74"/>
    <w:rsid w:val="001D2026"/>
    <w:rsid w:val="001F0EE3"/>
    <w:rsid w:val="001F26B6"/>
    <w:rsid w:val="002214A7"/>
    <w:rsid w:val="002445D4"/>
    <w:rsid w:val="002628A1"/>
    <w:rsid w:val="002776AF"/>
    <w:rsid w:val="002A6D82"/>
    <w:rsid w:val="002B049A"/>
    <w:rsid w:val="00310215"/>
    <w:rsid w:val="00330304"/>
    <w:rsid w:val="00371228"/>
    <w:rsid w:val="00385095"/>
    <w:rsid w:val="003A0A80"/>
    <w:rsid w:val="003E18EC"/>
    <w:rsid w:val="003E25F3"/>
    <w:rsid w:val="003E29A4"/>
    <w:rsid w:val="003F3D30"/>
    <w:rsid w:val="004133D5"/>
    <w:rsid w:val="004138A9"/>
    <w:rsid w:val="00435907"/>
    <w:rsid w:val="00436DC7"/>
    <w:rsid w:val="00454C34"/>
    <w:rsid w:val="00454E81"/>
    <w:rsid w:val="00456ECB"/>
    <w:rsid w:val="00460A38"/>
    <w:rsid w:val="004611BC"/>
    <w:rsid w:val="00470F60"/>
    <w:rsid w:val="00486793"/>
    <w:rsid w:val="004A69B6"/>
    <w:rsid w:val="004A6DC3"/>
    <w:rsid w:val="004B22AB"/>
    <w:rsid w:val="004B5144"/>
    <w:rsid w:val="004C24D5"/>
    <w:rsid w:val="004D0E80"/>
    <w:rsid w:val="004D41B5"/>
    <w:rsid w:val="004D6281"/>
    <w:rsid w:val="005058CC"/>
    <w:rsid w:val="00544552"/>
    <w:rsid w:val="00544823"/>
    <w:rsid w:val="00544E1B"/>
    <w:rsid w:val="0056174A"/>
    <w:rsid w:val="005652B2"/>
    <w:rsid w:val="005916C4"/>
    <w:rsid w:val="005977C0"/>
    <w:rsid w:val="005A1491"/>
    <w:rsid w:val="005B5D5B"/>
    <w:rsid w:val="005E7BB6"/>
    <w:rsid w:val="00603FBE"/>
    <w:rsid w:val="00614364"/>
    <w:rsid w:val="00675D0A"/>
    <w:rsid w:val="00692E67"/>
    <w:rsid w:val="006A3FD5"/>
    <w:rsid w:val="006E0669"/>
    <w:rsid w:val="00707906"/>
    <w:rsid w:val="007379A4"/>
    <w:rsid w:val="00777F50"/>
    <w:rsid w:val="007826D9"/>
    <w:rsid w:val="007C3C06"/>
    <w:rsid w:val="007C4B0D"/>
    <w:rsid w:val="007D7F25"/>
    <w:rsid w:val="0080255D"/>
    <w:rsid w:val="0080537E"/>
    <w:rsid w:val="0080635E"/>
    <w:rsid w:val="00814808"/>
    <w:rsid w:val="0082256C"/>
    <w:rsid w:val="00832B3E"/>
    <w:rsid w:val="00853C7A"/>
    <w:rsid w:val="00867295"/>
    <w:rsid w:val="008706F8"/>
    <w:rsid w:val="008D2693"/>
    <w:rsid w:val="008E41C9"/>
    <w:rsid w:val="008E57BB"/>
    <w:rsid w:val="008F65AD"/>
    <w:rsid w:val="008F6A8A"/>
    <w:rsid w:val="00902108"/>
    <w:rsid w:val="00912B1F"/>
    <w:rsid w:val="00936F65"/>
    <w:rsid w:val="00937D15"/>
    <w:rsid w:val="00940AC1"/>
    <w:rsid w:val="009607FD"/>
    <w:rsid w:val="00960C25"/>
    <w:rsid w:val="00964FFD"/>
    <w:rsid w:val="00980DF5"/>
    <w:rsid w:val="009F0116"/>
    <w:rsid w:val="009F0C1D"/>
    <w:rsid w:val="009F42B8"/>
    <w:rsid w:val="00A0061F"/>
    <w:rsid w:val="00A02D13"/>
    <w:rsid w:val="00A042E3"/>
    <w:rsid w:val="00A15424"/>
    <w:rsid w:val="00A36AA9"/>
    <w:rsid w:val="00A539BB"/>
    <w:rsid w:val="00A56E28"/>
    <w:rsid w:val="00A579F7"/>
    <w:rsid w:val="00A64EC3"/>
    <w:rsid w:val="00A72B51"/>
    <w:rsid w:val="00A949BA"/>
    <w:rsid w:val="00A949C1"/>
    <w:rsid w:val="00A956BF"/>
    <w:rsid w:val="00AB13AA"/>
    <w:rsid w:val="00AB1716"/>
    <w:rsid w:val="00B07A76"/>
    <w:rsid w:val="00B2256C"/>
    <w:rsid w:val="00B4593D"/>
    <w:rsid w:val="00B557CD"/>
    <w:rsid w:val="00B82A5B"/>
    <w:rsid w:val="00B92226"/>
    <w:rsid w:val="00B97791"/>
    <w:rsid w:val="00BC0641"/>
    <w:rsid w:val="00BE7C81"/>
    <w:rsid w:val="00BF70D9"/>
    <w:rsid w:val="00C06FE0"/>
    <w:rsid w:val="00C2129D"/>
    <w:rsid w:val="00C226AA"/>
    <w:rsid w:val="00C3634B"/>
    <w:rsid w:val="00C50074"/>
    <w:rsid w:val="00C508FB"/>
    <w:rsid w:val="00C723CE"/>
    <w:rsid w:val="00C7590E"/>
    <w:rsid w:val="00C91E2C"/>
    <w:rsid w:val="00CA3B58"/>
    <w:rsid w:val="00CB4B6E"/>
    <w:rsid w:val="00CC7D07"/>
    <w:rsid w:val="00CD5768"/>
    <w:rsid w:val="00CE10CB"/>
    <w:rsid w:val="00CE29C0"/>
    <w:rsid w:val="00D123B9"/>
    <w:rsid w:val="00D17022"/>
    <w:rsid w:val="00D31239"/>
    <w:rsid w:val="00D400E8"/>
    <w:rsid w:val="00D7523B"/>
    <w:rsid w:val="00DE3B77"/>
    <w:rsid w:val="00DE4F13"/>
    <w:rsid w:val="00DF0030"/>
    <w:rsid w:val="00E030E6"/>
    <w:rsid w:val="00E14A14"/>
    <w:rsid w:val="00E41928"/>
    <w:rsid w:val="00E4467B"/>
    <w:rsid w:val="00E44C3E"/>
    <w:rsid w:val="00E53872"/>
    <w:rsid w:val="00E53FCE"/>
    <w:rsid w:val="00E60BBC"/>
    <w:rsid w:val="00E93D50"/>
    <w:rsid w:val="00EE189C"/>
    <w:rsid w:val="00EE704E"/>
    <w:rsid w:val="00F02527"/>
    <w:rsid w:val="00F168B8"/>
    <w:rsid w:val="00F466C3"/>
    <w:rsid w:val="00F47334"/>
    <w:rsid w:val="00F61215"/>
    <w:rsid w:val="00F64796"/>
    <w:rsid w:val="00FB31D0"/>
    <w:rsid w:val="00FC4BEA"/>
    <w:rsid w:val="00FD672D"/>
    <w:rsid w:val="00FE26C4"/>
    <w:rsid w:val="06970BA5"/>
    <w:rsid w:val="103822ED"/>
    <w:rsid w:val="2CE94529"/>
    <w:rsid w:val="5860212A"/>
    <w:rsid w:val="5B90186D"/>
    <w:rsid w:val="7B7D7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4B639E-94ED-486C-9593-A58B5A90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unhideWhenUsed="1" w:qFormat="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paragraph" w:styleId="4">
    <w:name w:val="heading 4"/>
    <w:basedOn w:val="a"/>
    <w:next w:val="a"/>
    <w:link w:val="4Char"/>
    <w:uiPriority w:val="9"/>
    <w:unhideWhenUsed/>
    <w:qFormat/>
    <w:pPr>
      <w:keepNext/>
      <w:keepLines/>
      <w:widowControl/>
      <w:outlineLvl w:val="3"/>
    </w:pPr>
    <w:rPr>
      <w:rFonts w:asciiTheme="majorHAnsi" w:eastAsia="华文细黑" w:hAnsiTheme="majorHAnsi" w:cstheme="majorBidi"/>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Char"/>
    <w:semiHidden/>
    <w:qFormat/>
    <w:pPr>
      <w:jc w:val="left"/>
    </w:pPr>
  </w:style>
  <w:style w:type="paragraph" w:styleId="a5">
    <w:name w:val="Body Text"/>
    <w:basedOn w:val="a"/>
    <w:link w:val="Char0"/>
    <w:qFormat/>
    <w:pPr>
      <w:spacing w:line="360" w:lineRule="auto"/>
    </w:pPr>
    <w:rPr>
      <w:rFonts w:ascii="仿宋_GB2312" w:eastAsia="仿宋_GB2312"/>
      <w:color w:val="000000"/>
      <w:kern w:val="0"/>
      <w:sz w:val="24"/>
      <w:szCs w:val="28"/>
    </w:rPr>
  </w:style>
  <w:style w:type="paragraph" w:styleId="a6">
    <w:name w:val="Body Text Indent"/>
    <w:basedOn w:val="a"/>
    <w:link w:val="Char1"/>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7">
    <w:name w:val="Balloon Text"/>
    <w:basedOn w:val="a"/>
    <w:link w:val="Char2"/>
    <w:semiHidden/>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tabs>
        <w:tab w:val="right" w:leader="dot" w:pos="8494"/>
      </w:tabs>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5"/>
    <w:qFormat/>
    <w:rPr>
      <w:b/>
      <w:bCs/>
    </w:rPr>
  </w:style>
  <w:style w:type="character" w:styleId="ac">
    <w:name w:val="Strong"/>
    <w:qFormat/>
    <w:rPr>
      <w:b/>
      <w:bCs/>
    </w:rPr>
  </w:style>
  <w:style w:type="character" w:styleId="ad">
    <w:name w:val="page number"/>
    <w:basedOn w:val="a1"/>
    <w:qFormat/>
  </w:style>
  <w:style w:type="character" w:styleId="ae">
    <w:name w:val="FollowedHyperlink"/>
    <w:basedOn w:val="a1"/>
    <w:uiPriority w:val="99"/>
    <w:semiHidden/>
    <w:unhideWhenUsed/>
    <w:rPr>
      <w:color w:val="954F72" w:themeColor="followedHyperlink"/>
      <w:u w:val="single"/>
    </w:rPr>
  </w:style>
  <w:style w:type="character" w:styleId="af">
    <w:name w:val="Hyperlink"/>
    <w:rPr>
      <w:color w:val="0000FF"/>
      <w:u w:val="single"/>
    </w:rPr>
  </w:style>
  <w:style w:type="character" w:styleId="af0">
    <w:name w:val="annotation reference"/>
    <w:semiHidden/>
    <w:qFormat/>
    <w:rPr>
      <w:sz w:val="21"/>
      <w:szCs w:val="21"/>
    </w:rPr>
  </w:style>
  <w:style w:type="character" w:customStyle="1" w:styleId="4Char">
    <w:name w:val="标题 4 Char"/>
    <w:basedOn w:val="a1"/>
    <w:link w:val="4"/>
    <w:uiPriority w:val="9"/>
    <w:qFormat/>
    <w:rPr>
      <w:rFonts w:asciiTheme="majorHAnsi" w:eastAsia="华文细黑" w:hAnsiTheme="majorHAnsi" w:cstheme="majorBidi"/>
      <w:b/>
      <w:bCs/>
      <w:sz w:val="24"/>
      <w:szCs w:val="28"/>
    </w:rPr>
  </w:style>
  <w:style w:type="character" w:customStyle="1" w:styleId="2Char">
    <w:name w:val="标题 2 Char"/>
    <w:basedOn w:val="a1"/>
    <w:link w:val="2"/>
    <w:rPr>
      <w:rFonts w:ascii="Arial" w:eastAsia="黑体" w:hAnsi="Arial" w:cs="Times New Roman"/>
      <w:b/>
      <w:sz w:val="32"/>
      <w:szCs w:val="20"/>
    </w:rPr>
  </w:style>
  <w:style w:type="character" w:customStyle="1" w:styleId="Char4">
    <w:name w:val="页眉 Char"/>
    <w:basedOn w:val="a1"/>
    <w:link w:val="a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0">
    <w:name w:val="正文文本 Char"/>
    <w:basedOn w:val="a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1">
    <w:name w:val="正文文本缩进 Char"/>
    <w:basedOn w:val="a1"/>
    <w:link w:val="a6"/>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Char2">
    <w:name w:val="批注框文本 Char"/>
    <w:basedOn w:val="a1"/>
    <w:link w:val="a7"/>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
    <w:name w:val="批注文字 Char"/>
    <w:basedOn w:val="a1"/>
    <w:link w:val="a4"/>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5">
    <w:name w:val="批注主题 Char"/>
    <w:basedOn w:val="Char"/>
    <w:link w:val="ab"/>
    <w:qFormat/>
    <w:rPr>
      <w:rFonts w:ascii="Times New Roman" w:eastAsia="宋体" w:hAnsi="Times New Roman" w:cs="Times New Roman"/>
      <w:b/>
      <w:bCs/>
      <w:szCs w:val="24"/>
    </w:rPr>
  </w:style>
  <w:style w:type="paragraph" w:customStyle="1" w:styleId="Style49">
    <w:name w:val="_Style 49"/>
    <w:uiPriority w:val="99"/>
    <w:unhideWhenUsed/>
    <w:qFormat/>
    <w:pPr>
      <w:widowControl w:val="0"/>
      <w:jc w:val="both"/>
    </w:pPr>
    <w:rPr>
      <w:rFonts w:ascii="Times New Roman" w:eastAsia="宋体" w:hAnsi="Times New Roman" w:cs="Times New Roman"/>
      <w:kern w:val="2"/>
      <w:sz w:val="21"/>
      <w:szCs w:val="24"/>
    </w:rPr>
  </w:style>
  <w:style w:type="paragraph" w:customStyle="1" w:styleId="10">
    <w:name w:val="修订1"/>
    <w:hidden/>
    <w:uiPriority w:val="99"/>
    <w:semiHidden/>
    <w:rPr>
      <w:rFonts w:ascii="Times New Roman" w:eastAsia="宋体" w:hAnsi="Times New Roman" w:cs="Times New Roman"/>
      <w:kern w:val="2"/>
      <w:sz w:val="21"/>
      <w:szCs w:val="24"/>
    </w:rPr>
  </w:style>
  <w:style w:type="paragraph" w:styleId="af1">
    <w:name w:val="Revision"/>
    <w:hidden/>
    <w:uiPriority w:val="99"/>
    <w:semiHidden/>
    <w:rsid w:val="000E7DD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775EB-E761-4EE7-B0A0-ECB49FDB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4922</Words>
  <Characters>28059</Characters>
  <Application>Microsoft Office Word</Application>
  <DocSecurity>0</DocSecurity>
  <Lines>233</Lines>
  <Paragraphs>65</Paragraphs>
  <ScaleCrop>false</ScaleCrop>
  <Company/>
  <LinksUpToDate>false</LinksUpToDate>
  <CharactersWithSpaces>32916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刘军峰</dc:creator>
  <cp:lastModifiedBy>王梦晖</cp:lastModifiedBy>
  <cp:revision>34</cp:revision>
  <cp:lastPrinted>2020-06-12T05:01:00Z</cp:lastPrinted>
  <dcterms:created xsi:type="dcterms:W3CDTF">2020-06-04T02:00:00Z</dcterms:created>
  <dcterms:modified xsi:type="dcterms:W3CDTF">2020-12-29T09:27:00Z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