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897" w:rsidRDefault="00472897">
      <w:pPr>
        <w:adjustRightInd w:val="0"/>
        <w:snapToGrid w:val="0"/>
        <w:jc w:val="center"/>
        <w:rPr>
          <w:rFonts w:ascii="彩虹粗仿宋" w:eastAsia="彩虹粗仿宋" w:hAnsi="宋体" w:cs="Arial"/>
          <w:b/>
          <w:sz w:val="44"/>
        </w:rPr>
      </w:pPr>
      <w:bookmarkStart w:id="0" w:name="_GoBack"/>
      <w:bookmarkEnd w:id="0"/>
    </w:p>
    <w:p w:rsidR="00472897" w:rsidRDefault="00472897">
      <w:pPr>
        <w:adjustRightInd w:val="0"/>
        <w:snapToGrid w:val="0"/>
        <w:jc w:val="center"/>
        <w:rPr>
          <w:rFonts w:ascii="彩虹粗仿宋" w:eastAsia="彩虹粗仿宋" w:hAnsi="宋体" w:cs="Arial"/>
          <w:b/>
          <w:sz w:val="44"/>
        </w:rPr>
      </w:pPr>
    </w:p>
    <w:p w:rsidR="00472897" w:rsidRDefault="00472897">
      <w:pPr>
        <w:adjustRightInd w:val="0"/>
        <w:snapToGrid w:val="0"/>
        <w:jc w:val="center"/>
        <w:rPr>
          <w:rFonts w:ascii="彩虹粗仿宋" w:eastAsia="彩虹粗仿宋" w:hAnsi="宋体" w:cs="Arial"/>
          <w:b/>
          <w:sz w:val="44"/>
        </w:rPr>
      </w:pP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p>
    <w:p w:rsidR="00472897" w:rsidRDefault="00472897">
      <w:pPr>
        <w:adjustRightInd w:val="0"/>
        <w:snapToGrid w:val="0"/>
        <w:jc w:val="center"/>
        <w:rPr>
          <w:rFonts w:ascii="彩虹粗仿宋" w:eastAsia="彩虹粗仿宋" w:hAnsi="宋体" w:cs="Arial"/>
          <w:b/>
          <w:sz w:val="44"/>
        </w:rPr>
      </w:pPr>
    </w:p>
    <w:p w:rsidR="00472897" w:rsidRDefault="00472897">
      <w:pPr>
        <w:adjustRightInd w:val="0"/>
        <w:snapToGrid w:val="0"/>
        <w:jc w:val="center"/>
        <w:rPr>
          <w:rFonts w:ascii="彩虹粗仿宋" w:eastAsia="彩虹粗仿宋" w:hAnsi="宋体" w:cs="Arial"/>
          <w:b/>
          <w:sz w:val="44"/>
        </w:rPr>
      </w:pP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FA6C32">
        <w:rPr>
          <w:rFonts w:ascii="彩虹粗仿宋" w:eastAsia="彩虹粗仿宋" w:hAnsi="宋体" w:cs="Arial" w:hint="eastAsia"/>
          <w:b/>
          <w:sz w:val="44"/>
        </w:rPr>
        <w:t>启明</w:t>
      </w:r>
      <w:r>
        <w:rPr>
          <w:rFonts w:ascii="彩虹粗仿宋" w:eastAsia="彩虹粗仿宋" w:hAnsi="宋体" w:cs="Arial" w:hint="eastAsia"/>
          <w:b/>
          <w:sz w:val="44"/>
        </w:rPr>
        <w:t>混合型证券投资基金</w:t>
      </w: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二零二零年</w:t>
      </w:r>
      <w:r w:rsidR="00F56D99">
        <w:rPr>
          <w:rFonts w:ascii="彩虹粗仿宋" w:eastAsia="彩虹粗仿宋" w:hAnsi="宋体" w:cs="Arial" w:hint="eastAsia"/>
          <w:sz w:val="24"/>
        </w:rPr>
        <w:t>四</w:t>
      </w:r>
      <w:r>
        <w:rPr>
          <w:rFonts w:ascii="彩虹粗仿宋" w:eastAsia="彩虹粗仿宋" w:hAnsi="宋体" w:cs="Arial" w:hint="eastAsia"/>
          <w:sz w:val="24"/>
        </w:rPr>
        <w:t>月</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jc w:val="center"/>
        <w:rPr>
          <w:rFonts w:ascii="彩虹粗仿宋" w:eastAsia="彩虹粗仿宋" w:hAnsi="宋体" w:cs="Arial"/>
          <w:bCs/>
          <w:sz w:val="24"/>
        </w:rPr>
        <w:sectPr w:rsidR="00472897">
          <w:footerReference w:type="even" r:id="rId9"/>
          <w:footerReference w:type="default" r:id="rId10"/>
          <w:pgSz w:w="11906" w:h="16838"/>
          <w:pgMar w:top="1418" w:right="1701" w:bottom="1418" w:left="1701" w:header="851" w:footer="992" w:gutter="0"/>
          <w:cols w:space="425"/>
          <w:docGrid w:type="lines" w:linePitch="312"/>
        </w:sectPr>
      </w:pPr>
    </w:p>
    <w:p w:rsidR="00472897" w:rsidRDefault="00BD4BFA">
      <w:pPr>
        <w:jc w:val="center"/>
        <w:rPr>
          <w:rFonts w:ascii="彩虹粗仿宋" w:eastAsia="彩虹粗仿宋"/>
          <w:b/>
          <w:bCs/>
          <w:sz w:val="30"/>
        </w:rPr>
      </w:pPr>
      <w:r>
        <w:rPr>
          <w:rFonts w:ascii="彩虹粗仿宋" w:eastAsia="彩虹粗仿宋" w:hint="eastAsia"/>
          <w:b/>
          <w:bCs/>
          <w:sz w:val="30"/>
        </w:rPr>
        <w:lastRenderedPageBreak/>
        <w:t>目    录</w:t>
      </w:r>
    </w:p>
    <w:p w:rsidR="00472897" w:rsidRDefault="00BD4BFA">
      <w:pPr>
        <w:pStyle w:val="TOC2"/>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6"/>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567488">
          <w:rPr>
            <w:rFonts w:ascii="彩虹粗仿宋" w:eastAsia="彩虹粗仿宋" w:hAnsi="宋体"/>
            <w:noProof/>
            <w:sz w:val="28"/>
          </w:rPr>
          <w:t>3</w:t>
        </w:r>
        <w:r>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886" w:history="1">
        <w:r w:rsidR="00BD4BFA">
          <w:rPr>
            <w:rStyle w:val="af6"/>
            <w:rFonts w:ascii="彩虹粗仿宋" w:eastAsia="彩虹粗仿宋" w:hAnsi="宋体" w:hint="eastAsia"/>
            <w:noProof/>
            <w:sz w:val="28"/>
            <w:szCs w:val="32"/>
          </w:rPr>
          <w:t>二、基金托管协议的依据、目的和原则</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887" w:history="1">
        <w:r w:rsidR="00BD4BFA">
          <w:rPr>
            <w:rStyle w:val="af6"/>
            <w:rFonts w:ascii="彩虹粗仿宋" w:eastAsia="彩虹粗仿宋" w:hAnsi="宋体" w:hint="eastAsia"/>
            <w:noProof/>
            <w:sz w:val="28"/>
            <w:szCs w:val="32"/>
          </w:rPr>
          <w:t>三、基金托管人对基金管理人的业务监督和核查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5</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888" w:history="1">
        <w:r w:rsidR="00BD4BFA">
          <w:rPr>
            <w:rStyle w:val="af6"/>
            <w:rFonts w:ascii="彩虹粗仿宋" w:eastAsia="彩虹粗仿宋" w:hAnsi="宋体" w:hint="eastAsia"/>
            <w:noProof/>
            <w:sz w:val="28"/>
            <w:szCs w:val="32"/>
          </w:rPr>
          <w:t>四、基金管理人对基金托管人的业务核查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11</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889" w:history="1">
        <w:r w:rsidR="00BD4BFA">
          <w:rPr>
            <w:rStyle w:val="af6"/>
            <w:rFonts w:ascii="彩虹粗仿宋" w:eastAsia="彩虹粗仿宋" w:hAnsi="宋体" w:hint="eastAsia"/>
            <w:noProof/>
            <w:sz w:val="28"/>
            <w:szCs w:val="32"/>
          </w:rPr>
          <w:t>五、基金财产的保管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12</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890" w:history="1">
        <w:r w:rsidR="00BD4BFA">
          <w:rPr>
            <w:rStyle w:val="af6"/>
            <w:rFonts w:ascii="彩虹粗仿宋" w:eastAsia="彩虹粗仿宋" w:hAnsi="宋体" w:hint="eastAsia"/>
            <w:noProof/>
            <w:sz w:val="28"/>
            <w:szCs w:val="32"/>
          </w:rPr>
          <w:t>六、指令的发送、确认及执行</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15</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891" w:history="1">
        <w:r w:rsidR="00BD4BFA">
          <w:rPr>
            <w:rStyle w:val="af6"/>
            <w:rFonts w:ascii="彩虹粗仿宋" w:eastAsia="彩虹粗仿宋" w:hAnsi="宋体" w:hint="eastAsia"/>
            <w:noProof/>
            <w:sz w:val="28"/>
            <w:szCs w:val="32"/>
          </w:rPr>
          <w:t>七、交易及清算交收安排</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17</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892" w:history="1">
        <w:r w:rsidR="00BD4BFA">
          <w:rPr>
            <w:rStyle w:val="af6"/>
            <w:rFonts w:ascii="彩虹粗仿宋" w:eastAsia="彩虹粗仿宋" w:hAnsi="宋体" w:hint="eastAsia"/>
            <w:noProof/>
            <w:sz w:val="28"/>
            <w:szCs w:val="32"/>
          </w:rPr>
          <w:t>八、基金资产净值计算和会计核算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22</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893" w:history="1">
        <w:r w:rsidR="00BD4BFA">
          <w:rPr>
            <w:rStyle w:val="af6"/>
            <w:rFonts w:ascii="彩虹粗仿宋" w:eastAsia="彩虹粗仿宋" w:hAnsi="宋体" w:hint="eastAsia"/>
            <w:noProof/>
            <w:sz w:val="28"/>
            <w:szCs w:val="32"/>
          </w:rPr>
          <w:t>九、基金收益分配</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26</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894" w:history="1">
        <w:r w:rsidR="00BD4BFA">
          <w:rPr>
            <w:rStyle w:val="af6"/>
            <w:rFonts w:ascii="彩虹粗仿宋" w:eastAsia="彩虹粗仿宋" w:hAnsi="宋体" w:hint="eastAsia"/>
            <w:noProof/>
            <w:sz w:val="28"/>
            <w:szCs w:val="32"/>
          </w:rPr>
          <w:t>十、基金信息披露</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895" w:history="1">
        <w:r w:rsidR="00BD4BFA">
          <w:rPr>
            <w:rStyle w:val="af6"/>
            <w:rFonts w:ascii="彩虹粗仿宋" w:eastAsia="彩虹粗仿宋" w:hAnsi="宋体" w:hint="eastAsia"/>
            <w:noProof/>
            <w:sz w:val="28"/>
            <w:szCs w:val="32"/>
          </w:rPr>
          <w:t>十一、基金费用</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896" w:history="1">
        <w:r w:rsidR="00BD4BFA">
          <w:rPr>
            <w:rStyle w:val="af6"/>
            <w:rFonts w:ascii="彩虹粗仿宋" w:eastAsia="彩虹粗仿宋" w:hAnsi="宋体" w:hint="eastAsia"/>
            <w:noProof/>
            <w:sz w:val="28"/>
            <w:szCs w:val="32"/>
          </w:rPr>
          <w:t>十二、基金份额持有人名册的保管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30</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897" w:history="1">
        <w:r w:rsidR="00BD4BFA">
          <w:rPr>
            <w:rStyle w:val="af6"/>
            <w:rFonts w:ascii="彩虹粗仿宋" w:eastAsia="彩虹粗仿宋" w:hAnsi="宋体" w:hint="eastAsia"/>
            <w:noProof/>
            <w:sz w:val="28"/>
            <w:szCs w:val="32"/>
          </w:rPr>
          <w:t>十三、基金有关文件档案的保存</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30</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898" w:history="1">
        <w:r w:rsidR="00BD4BFA">
          <w:rPr>
            <w:rStyle w:val="af6"/>
            <w:rFonts w:ascii="彩虹粗仿宋" w:eastAsia="彩虹粗仿宋" w:hAnsi="宋体" w:hint="eastAsia"/>
            <w:noProof/>
            <w:sz w:val="28"/>
            <w:szCs w:val="32"/>
          </w:rPr>
          <w:t>十四、基金管理人和基金托管人的更换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31</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899" w:history="1">
        <w:r w:rsidR="00BD4BFA">
          <w:rPr>
            <w:rStyle w:val="af6"/>
            <w:rFonts w:ascii="彩虹粗仿宋" w:eastAsia="彩虹粗仿宋" w:hAnsi="宋体" w:hint="eastAsia"/>
            <w:noProof/>
            <w:sz w:val="28"/>
            <w:szCs w:val="32"/>
          </w:rPr>
          <w:t>十五、禁止行为</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33</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900" w:history="1">
        <w:r w:rsidR="00BD4BFA">
          <w:rPr>
            <w:rStyle w:val="af6"/>
            <w:rFonts w:ascii="彩虹粗仿宋" w:eastAsia="彩虹粗仿宋" w:hAnsi="宋体" w:hint="eastAsia"/>
            <w:noProof/>
            <w:sz w:val="28"/>
            <w:szCs w:val="32"/>
          </w:rPr>
          <w:t>十六、托管协议的变更、终止与基金财产的清算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34</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901" w:history="1">
        <w:r w:rsidR="00BD4BFA">
          <w:rPr>
            <w:rStyle w:val="af6"/>
            <w:rFonts w:ascii="彩虹粗仿宋" w:eastAsia="彩虹粗仿宋" w:hAnsi="宋体" w:hint="eastAsia"/>
            <w:noProof/>
            <w:sz w:val="28"/>
            <w:szCs w:val="32"/>
          </w:rPr>
          <w:t>十七、违约责任</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35</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902" w:history="1">
        <w:r w:rsidR="00BD4BFA">
          <w:rPr>
            <w:rStyle w:val="af6"/>
            <w:rFonts w:ascii="彩虹粗仿宋" w:eastAsia="彩虹粗仿宋" w:hAnsi="宋体" w:hint="eastAsia"/>
            <w:noProof/>
            <w:sz w:val="28"/>
            <w:szCs w:val="32"/>
          </w:rPr>
          <w:t>十八、争议解决方式</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36</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903" w:history="1">
        <w:r w:rsidR="00BD4BFA">
          <w:rPr>
            <w:rStyle w:val="af6"/>
            <w:rFonts w:ascii="彩虹粗仿宋" w:eastAsia="彩虹粗仿宋" w:hAnsi="宋体" w:hint="eastAsia"/>
            <w:noProof/>
            <w:sz w:val="28"/>
            <w:szCs w:val="32"/>
          </w:rPr>
          <w:t>十九、托管协议的效力</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904" w:history="1">
        <w:r w:rsidR="00BD4BFA">
          <w:rPr>
            <w:rStyle w:val="af6"/>
            <w:rFonts w:ascii="彩虹粗仿宋" w:eastAsia="彩虹粗仿宋" w:hAnsi="宋体" w:hint="eastAsia"/>
            <w:noProof/>
            <w:sz w:val="28"/>
            <w:szCs w:val="32"/>
          </w:rPr>
          <w:t>二十、其他事项</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rsidR="00472897" w:rsidRDefault="00A03DC2">
      <w:pPr>
        <w:pStyle w:val="TOC2"/>
        <w:tabs>
          <w:tab w:val="right" w:leader="dot" w:pos="8494"/>
        </w:tabs>
        <w:rPr>
          <w:rFonts w:ascii="彩虹粗仿宋" w:eastAsia="彩虹粗仿宋" w:hAnsi="宋体"/>
          <w:noProof/>
          <w:sz w:val="28"/>
        </w:rPr>
      </w:pPr>
      <w:hyperlink w:anchor="_Toc124325905" w:history="1">
        <w:r w:rsidR="00BD4BFA">
          <w:rPr>
            <w:rStyle w:val="af6"/>
            <w:rFonts w:ascii="彩虹粗仿宋" w:eastAsia="彩虹粗仿宋" w:hAnsi="宋体" w:hint="eastAsia"/>
            <w:noProof/>
            <w:sz w:val="28"/>
            <w:szCs w:val="32"/>
          </w:rPr>
          <w:t>二十一、托管协议的签订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567488">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rsidR="00472897" w:rsidRDefault="00BD4BFA">
      <w:pPr>
        <w:rPr>
          <w:rFonts w:ascii="彩虹粗仿宋" w:eastAsia="彩虹粗仿宋"/>
          <w:sz w:val="24"/>
        </w:rPr>
      </w:pPr>
      <w:r>
        <w:rPr>
          <w:rFonts w:ascii="彩虹粗仿宋" w:eastAsia="彩虹粗仿宋" w:hAnsi="宋体" w:hint="eastAsia"/>
          <w:sz w:val="28"/>
        </w:rPr>
        <w:lastRenderedPageBreak/>
        <w:fldChar w:fldCharType="end"/>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证券投资基金的基金托管人；</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证券投资基金的基金管理人和基金托管人之间的权利义务关系，特制订本托管协议；</w:t>
      </w:r>
    </w:p>
    <w:p w:rsidR="00472897" w:rsidRDefault="00BD4BFA">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w:t>
      </w:r>
      <w:r w:rsidR="00FA6C32">
        <w:rPr>
          <w:rFonts w:ascii="彩虹粗仿宋" w:eastAsia="彩虹粗仿宋" w:hAnsi="宋体" w:cs="Arial" w:hint="eastAsia"/>
          <w:sz w:val="24"/>
        </w:rPr>
        <w:t>启明</w:t>
      </w:r>
      <w:r>
        <w:rPr>
          <w:rFonts w:ascii="彩虹粗仿宋" w:eastAsia="彩虹粗仿宋" w:hAnsi="宋体" w:cs="Arial" w:hint="eastAsia"/>
          <w:sz w:val="24"/>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472897" w:rsidRDefault="00472897">
      <w:pPr>
        <w:rPr>
          <w:rFonts w:ascii="彩虹粗仿宋" w:eastAsia="彩虹粗仿宋"/>
          <w:sz w:val="24"/>
          <w:lang w:val="en-GB"/>
        </w:rPr>
      </w:pPr>
    </w:p>
    <w:p w:rsidR="00472897" w:rsidRDefault="00BD4BFA">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Fonts w:hint="eastAsia"/>
        </w:rPr>
        <w:t>[</w:t>
      </w:r>
      <w:r>
        <w:t>2005</w:t>
      </w:r>
      <w:r>
        <w:rPr>
          <w:rFonts w:hint="eastAsia"/>
        </w:rPr>
        <w:t>]</w:t>
      </w:r>
      <w:r>
        <w:t>128</w:t>
      </w:r>
      <w:r>
        <w:rPr>
          <w:rFonts w:ascii="彩虹粗仿宋" w:eastAsia="彩虹粗仿宋" w:hAnsi="宋体" w:cs="Arial" w:hint="eastAsia"/>
          <w:sz w:val="24"/>
        </w:rPr>
        <w:t>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472897" w:rsidRDefault="00BD4BF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72897" w:rsidRDefault="00BD4BFA">
      <w:pPr>
        <w:adjustRightInd w:val="0"/>
        <w:snapToGrid w:val="0"/>
        <w:ind w:firstLineChars="200" w:firstLine="480"/>
        <w:rPr>
          <w:rFonts w:ascii="彩虹粗仿宋" w:eastAsia="彩虹粗仿宋" w:hAnsi="宋体" w:cs="Arial"/>
          <w:sz w:val="24"/>
        </w:rPr>
      </w:pPr>
      <w:bookmarkStart w:id="5" w:name="_Hlk499715022"/>
      <w:r>
        <w:rPr>
          <w:rFonts w:ascii="彩虹粗仿宋" w:eastAsia="彩虹粗仿宋" w:hAnsi="宋体" w:cs="Arial" w:hint="eastAsia"/>
          <w:sz w:val="24"/>
        </w:rPr>
        <w:t>本基金的投资范围为具有良好流动性的金融工具，包括国内依法发行上市的股票（含中小板、创业板及其他经中国证监会核准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（二）基金托管人根据有关法律法规的规定及《基金合同》的约定，对基金投资、融资比例进行监督。基金托管人按下述比例和调整期限进行监督：</w:t>
      </w:r>
    </w:p>
    <w:p w:rsidR="00472897" w:rsidRDefault="00BD4BFA">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Ansi="宋体" w:cs="Arial" w:hint="eastAsia"/>
          <w:sz w:val="24"/>
        </w:rPr>
        <w:t>股票投资占基金资产的比例为60%-95%，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Pr>
          <w:rFonts w:ascii="彩虹粗仿宋" w:eastAsia="彩虹粗仿宋" w:hint="eastAsia"/>
          <w:sz w:val="24"/>
        </w:rPr>
        <w:t>；</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Pr="00B36E22">
        <w:rPr>
          <w:rFonts w:ascii="彩虹粗仿宋" w:eastAsia="彩虹粗仿宋" w:hAnsi="宋体" w:cs="Arial" w:hint="eastAsia"/>
          <w:sz w:val="24"/>
        </w:rPr>
        <w:t>（同一家公司在内地和香港同时上市的</w:t>
      </w:r>
      <w:r w:rsidRPr="00B36E22">
        <w:rPr>
          <w:rFonts w:ascii="彩虹粗仿宋" w:eastAsia="彩虹粗仿宋" w:hAnsi="宋体" w:cs="Arial"/>
          <w:sz w:val="24"/>
        </w:rPr>
        <w:t xml:space="preserve">A+H </w:t>
      </w:r>
      <w:r w:rsidRPr="00B36E22">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本基金与私募类证券资管产品及中国证监会认定的其他主体为交易对手开展逆回购交易的，可接受质押品的资质要求应当与基金合同约定的投资范围保持一致；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15.</w:t>
      </w:r>
      <w:r>
        <w:rPr>
          <w:rFonts w:ascii="彩虹粗仿宋" w:eastAsia="彩虹粗仿宋" w:hAnsi="宋体" w:cs="Arial" w:hint="eastAsia"/>
          <w:sz w:val="24"/>
        </w:rPr>
        <w:t>本基金参与股指期货交易，则：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（1）本基金在任何交易日日终，持有的买入股指期货合约价值，不得超过基金资产净值的10%；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6.</w:t>
      </w:r>
      <w:r>
        <w:rPr>
          <w:rFonts w:ascii="彩虹粗仿宋" w:eastAsia="彩虹粗仿宋" w:hAnsi="宋体" w:cs="Arial" w:hint="eastAsia"/>
          <w:sz w:val="24"/>
        </w:rPr>
        <w:t>本基金资产总值不超过基金资产净值的140%；</w:t>
      </w:r>
    </w:p>
    <w:p w:rsidR="00472897" w:rsidRDefault="00BD4BFA">
      <w:pPr>
        <w:adjustRightInd w:val="0"/>
        <w:snapToGrid w:val="0"/>
        <w:ind w:firstLine="480"/>
        <w:rPr>
          <w:rFonts w:ascii="彩虹粗仿宋" w:eastAsia="彩虹粗仿宋"/>
          <w:sz w:val="24"/>
        </w:rPr>
      </w:pPr>
      <w:r>
        <w:rPr>
          <w:rFonts w:ascii="彩虹粗仿宋" w:eastAsia="彩虹粗仿宋" w:hint="eastAsia"/>
          <w:sz w:val="24"/>
        </w:rPr>
        <w:t>17.本基金持有的所有流通受限证券，其公允价值不得超过本基金资产净值的15</w:t>
      </w:r>
      <w:r>
        <w:rPr>
          <w:rFonts w:ascii="彩虹粗仿宋" w:eastAsia="彩虹粗仿宋" w:hint="eastAsia"/>
          <w:color w:val="000000"/>
          <w:sz w:val="24"/>
        </w:rPr>
        <w:t>%</w:t>
      </w:r>
      <w:r>
        <w:rPr>
          <w:rFonts w:ascii="彩虹粗仿宋" w:eastAsia="彩虹粗仿宋" w:hint="eastAsia"/>
          <w:sz w:val="24"/>
        </w:rPr>
        <w:t>；本基金持有的同一流通受限证券，其公允价值不得超过本基金资产净值的10</w:t>
      </w:r>
      <w:r>
        <w:rPr>
          <w:rFonts w:ascii="彩虹粗仿宋" w:eastAsia="彩虹粗仿宋" w:hint="eastAsia"/>
          <w:color w:val="000000"/>
          <w:sz w:val="24"/>
        </w:rPr>
        <w:t>%；</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8</w:t>
      </w:r>
      <w:r>
        <w:rPr>
          <w:rFonts w:ascii="彩虹粗仿宋" w:eastAsia="彩虹粗仿宋" w:hAnsi="宋体" w:cs="Arial"/>
          <w:sz w:val="24"/>
        </w:rPr>
        <w:t>.</w:t>
      </w:r>
      <w:r>
        <w:rPr>
          <w:rFonts w:ascii="彩虹粗仿宋" w:eastAsia="彩虹粗仿宋" w:hAnsi="宋体" w:cs="Arial" w:hint="eastAsia"/>
          <w:sz w:val="24"/>
        </w:rPr>
        <w:t>法律法规及中国证监会规定的和《基金合同》约定的其他投资限制。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、1</w:t>
      </w:r>
      <w:r>
        <w:rPr>
          <w:rFonts w:ascii="彩虹粗仿宋" w:eastAsia="彩虹粗仿宋" w:hAnsi="宋体" w:cs="Arial"/>
          <w:sz w:val="24"/>
        </w:rPr>
        <w:t>4</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w:t>
      </w:r>
      <w:r>
        <w:rPr>
          <w:rFonts w:ascii="彩虹粗仿宋" w:eastAsia="彩虹粗仿宋" w:hAnsi="宋体" w:cs="Arial" w:hint="eastAsia"/>
          <w:sz w:val="24"/>
        </w:rPr>
        <w:lastRenderedPageBreak/>
        <w:t>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w:t>
      </w:r>
      <w:r>
        <w:rPr>
          <w:rFonts w:ascii="彩虹粗仿宋" w:eastAsia="彩虹粗仿宋" w:hAnsi="宋体" w:cs="Arial" w:hint="eastAsia"/>
          <w:sz w:val="24"/>
        </w:rPr>
        <w:lastRenderedPageBreak/>
        <w:t>因导致本基金出现损失致使基金托管人承担连带赔偿责任的，基金管理人应赔偿基金托管人由此遭受的损失。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w:t>
      </w:r>
      <w:r>
        <w:rPr>
          <w:rFonts w:ascii="彩虹粗仿宋" w:eastAsia="彩虹粗仿宋" w:hAnsi="宋体" w:cs="Arial" w:hint="eastAsia"/>
          <w:sz w:val="24"/>
        </w:rPr>
        <w:lastRenderedPageBreak/>
        <w:t>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开立的基金银行账户，同时在规定时间内，聘请具有从事证券、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w:t>
      </w:r>
      <w:r w:rsidR="008F0D04">
        <w:rPr>
          <w:rFonts w:ascii="彩虹粗仿宋" w:eastAsia="彩虹粗仿宋" w:hAnsi="宋体" w:cs="Arial" w:hint="eastAsia"/>
          <w:sz w:val="24"/>
        </w:rPr>
        <w:t>清盘</w:t>
      </w:r>
      <w:r>
        <w:rPr>
          <w:rFonts w:ascii="彩虹粗仿宋" w:eastAsia="彩虹粗仿宋" w:hAnsi="宋体" w:cs="Arial" w:hint="eastAsia"/>
          <w:sz w:val="24"/>
        </w:rPr>
        <w:t>后及时完成收益兑付、费用结清及其他应收应付款项资金划转，在确保后续不再发生款项进出后的10个工作日内向托管人发出销户申请。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w:t>
      </w:r>
      <w:r>
        <w:rPr>
          <w:rFonts w:ascii="彩虹粗仿宋" w:eastAsia="彩虹粗仿宋" w:hAnsi="宋体" w:cs="Arial" w:hint="eastAsia"/>
          <w:sz w:val="24"/>
        </w:rPr>
        <w:lastRenderedPageBreak/>
        <w:t>托管人签署的《托管银行证券资金结算协议》执行。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1.基金管理人应指定专人向基金托管人发送指令。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w:t>
      </w:r>
      <w:r>
        <w:rPr>
          <w:rFonts w:ascii="彩虹粗仿宋" w:eastAsia="彩虹粗仿宋" w:hAnsi="宋体" w:cs="Arial" w:hint="eastAsia"/>
          <w:sz w:val="24"/>
        </w:rPr>
        <w:lastRenderedPageBreak/>
        <w:t>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sidRPr="00DB7496">
        <w:rPr>
          <w:rFonts w:ascii="彩虹粗仿宋" w:eastAsia="彩虹粗仿宋" w:hAnsi="宋体" w:cs="Arial"/>
          <w:sz w:val="24"/>
        </w:rPr>
        <w:t>股指期货交易的</w:t>
      </w:r>
      <w:r>
        <w:rPr>
          <w:rFonts w:ascii="彩虹粗仿宋" w:eastAsia="彩虹粗仿宋" w:hAnsi="宋体" w:cs="Arial" w:hint="eastAsia"/>
          <w:sz w:val="24"/>
        </w:rPr>
        <w:t>期货经纪机构，并与其签订</w:t>
      </w:r>
      <w:r>
        <w:rPr>
          <w:rFonts w:ascii="彩虹粗仿宋" w:eastAsia="彩虹粗仿宋" w:hAnsi="宋体" w:cs="Arial" w:hint="eastAsia"/>
          <w:sz w:val="24"/>
        </w:rPr>
        <w:lastRenderedPageBreak/>
        <w:t>期货经纪合同。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472897" w:rsidRDefault="00BD4BFA" w:rsidP="00B53C6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（2）资金账目的核对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Pr>
          <w:rFonts w:ascii="彩虹粗仿宋" w:eastAsia="彩虹粗仿宋" w:hAnsi="宋体" w:cs="Arial" w:hint="eastAsia"/>
          <w:sz w:val="24"/>
        </w:rPr>
        <w:t>日基金转换入申请对应金额之和)与应付资金(T-3日赎回申请对应赎回金额与T-</w:t>
      </w:r>
      <w:r>
        <w:rPr>
          <w:rFonts w:ascii="彩虹粗仿宋" w:eastAsia="彩虹粗仿宋" w:hAnsi="宋体" w:cs="Arial"/>
          <w:sz w:val="24"/>
        </w:rPr>
        <w:t>2</w:t>
      </w:r>
      <w:r>
        <w:rPr>
          <w:rFonts w:ascii="彩虹粗仿宋" w:eastAsia="彩虹粗仿宋" w:hAnsi="宋体" w:cs="Arial" w:hint="eastAsia"/>
          <w:sz w:val="24"/>
        </w:rPr>
        <w:t>日基金转换出申请对应金额之和)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w:t>
      </w:r>
      <w:r>
        <w:rPr>
          <w:rFonts w:ascii="彩虹粗仿宋" w:eastAsia="彩虹粗仿宋" w:hAnsi="宋体" w:cs="Arial" w:hint="eastAsia"/>
          <w:sz w:val="24"/>
        </w:rPr>
        <w:lastRenderedPageBreak/>
        <w:t>基金管理人的划款指令将托管账户净应付额在T日12:00之前划往基金清算账户。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1.基金管理人确定分红方案通知基金托管人，双方核定后依照《信息披露办法》的有关规定在中国证监会指定媒介上公告。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w:t>
      </w:r>
      <w:r>
        <w:rPr>
          <w:rFonts w:ascii="彩虹粗仿宋" w:eastAsia="彩虹粗仿宋" w:hAnsi="宋体" w:cs="Arial" w:hint="eastAsia"/>
          <w:sz w:val="24"/>
        </w:rPr>
        <w:lastRenderedPageBreak/>
        <w:t>款本息已安全划回托管账户的，以及因发生特殊情况由管理人提供相关书面说明并重新承诺送单截止时间的，可剔除不计。</w:t>
      </w:r>
    </w:p>
    <w:p w:rsidR="00472897" w:rsidRDefault="00472897">
      <w:pPr>
        <w:pStyle w:val="a0"/>
        <w:adjustRightInd w:val="0"/>
        <w:snapToGrid w:val="0"/>
        <w:ind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基金管理人于每个工作日计算基金资产净值及基金份额净值，并按规定公告。如遇特殊情况，经履行适当程序，可以适当延迟计算或公告。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交易所上市交易的可转换债券以每日收盘价作为估值全价。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w:t>
      </w:r>
      <w:r>
        <w:rPr>
          <w:rFonts w:ascii="彩虹粗仿宋" w:eastAsia="彩虹粗仿宋" w:hAnsi="宋体" w:cs="Arial" w:hint="eastAsia"/>
          <w:sz w:val="24"/>
        </w:rPr>
        <w:lastRenderedPageBreak/>
        <w:t>价值；对于不存在市场活动或市场活动很少的情况下，应采用估值技术确定其公允价值。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股票同时在两个或两个以上市场交易的，按股票所处的市场分别估值。估值计算中涉及港币对人民币汇率的，将依据下列信息提供机构所提供的汇率为基准：当日中国人民银行或其授权机构公布的人民币汇率中间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当发生大额申购或赎回情形时，基金管理人可以采用摆动定价机制，以确保基金估值的公平性。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）相关法律法规以及监管部门有强制规定的，从其规定。如有新增事项，按国家最新规定估值。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基金管理人、基金托管人按估值方法的第(</w:t>
      </w:r>
      <w:r>
        <w:rPr>
          <w:rFonts w:ascii="彩虹粗仿宋" w:eastAsia="彩虹粗仿宋" w:hAnsi="宋体" w:cs="Arial"/>
          <w:sz w:val="24"/>
        </w:rPr>
        <w:t>6</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.当前一估值日基金资产净值</w:t>
      </w:r>
      <w:r>
        <w:rPr>
          <w:rFonts w:ascii="彩虹粗仿宋" w:eastAsia="彩虹粗仿宋" w:hAnsi="宋体" w:cs="Arial"/>
          <w:sz w:val="24"/>
        </w:rPr>
        <w:t>50%</w:t>
      </w:r>
      <w:r>
        <w:rPr>
          <w:rFonts w:ascii="彩虹粗仿宋" w:eastAsia="彩虹粗仿宋" w:hAnsi="宋体" w:cs="Arial" w:hint="eastAsia"/>
          <w:sz w:val="24"/>
        </w:rPr>
        <w:t>以上的资产出现无可参考的活跃市场价格且采用估值技术仍导致公允价值存在重大不确定性时，经与基金托管人协商确认</w:t>
      </w:r>
      <w:r>
        <w:rPr>
          <w:rFonts w:ascii="彩虹粗仿宋" w:eastAsia="彩虹粗仿宋" w:hAnsi="宋体" w:cs="Arial" w:hint="eastAsia"/>
          <w:sz w:val="24"/>
        </w:rPr>
        <w:lastRenderedPageBreak/>
        <w:t>后，基金管理人应当暂停估值；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（五）基金会计制度</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（六）基金账册的建立</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Pr>
          <w:rFonts w:ascii="彩虹粗仿宋" w:eastAsia="彩虹粗仿宋" w:hAnsi="宋体" w:cs="Arial" w:hint="eastAsia"/>
          <w:bCs/>
          <w:sz w:val="24"/>
        </w:rPr>
        <w:t>具有证券、期货相关业务资格的会计师事务所</w:t>
      </w:r>
      <w:r>
        <w:rPr>
          <w:rFonts w:ascii="彩虹粗仿宋" w:eastAsia="彩虹粗仿宋" w:hAnsi="宋体" w:cs="Arial" w:hint="eastAsia"/>
          <w:sz w:val="24"/>
        </w:rPr>
        <w:t>审计。《基金合同》生效不足两个月的，基金管理人可以不编制当期季度报告、中期报告或者年度报告。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rsidR="00472897" w:rsidRDefault="00472897">
      <w:pPr>
        <w:pStyle w:val="a0"/>
        <w:adjustRightInd w:val="0"/>
        <w:snapToGrid w:val="0"/>
        <w:ind w:firstLineChars="0" w:firstLine="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3.基金收益分配后基金份额净值不能低于面值；即基金收益分配基准日的基金份额净值减去每单位基金份额收益分配金额后不能低于面值；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4.每一基金份额享有同等分配权；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指定媒介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清算报告、本基金投资股指期货、资产支持证券、港股通标的股票、根据法律法规需要披露的信息、中国证监会规定的其他信息。基金年度报告中的财务会计报告需经具有从事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相关业务资格的会计师事务所审计后，方可披露。</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基金管理人和基金托管人应积极配合、互相监督，保证其履行按照法定方式和限时披露的义务。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rsidR="00472897" w:rsidRDefault="00472897">
      <w:pPr>
        <w:pStyle w:val="a0"/>
        <w:ind w:firstLineChars="0" w:firstLine="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0.25</w:t>
      </w:r>
      <w:r>
        <w:rPr>
          <w:rFonts w:ascii="彩虹粗仿宋" w:eastAsia="彩虹粗仿宋" w:hAnsi="宋体" w:cs="Arial" w:hint="eastAsia"/>
          <w:sz w:val="24"/>
        </w:rPr>
        <w:t>%年费率计提。托管费的计算方法如下：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（三）基金的开户费用、证券、</w:t>
      </w:r>
      <w:r>
        <w:rPr>
          <w:rFonts w:ascii="彩虹粗仿宋" w:eastAsia="彩虹粗仿宋" w:hAnsi="宋体" w:cs="Arial"/>
          <w:sz w:val="24"/>
        </w:rPr>
        <w:t>期货</w:t>
      </w:r>
      <w:r>
        <w:rPr>
          <w:rFonts w:ascii="彩虹粗仿宋" w:eastAsia="彩虹粗仿宋" w:hAnsi="宋体" w:cs="Arial" w:hint="eastAsia"/>
          <w:sz w:val="24"/>
        </w:rPr>
        <w:t>交易费用、基金的银行汇划费用、账户维护费用、《基金合同》生效后与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的信息披露费用、基金份额持有人大会费用、《基金合同》生效后与基金有关的会计师费、律师费、仲裁费</w:t>
      </w:r>
      <w:r>
        <w:rPr>
          <w:rFonts w:ascii="彩虹粗仿宋" w:eastAsia="彩虹粗仿宋" w:hAnsi="宋体" w:cs="Arial"/>
          <w:sz w:val="24"/>
        </w:rPr>
        <w:t>和诉讼费</w:t>
      </w:r>
      <w:r>
        <w:rPr>
          <w:rFonts w:ascii="彩虹粗仿宋" w:eastAsia="彩虹粗仿宋" w:hAnsi="宋体" w:cs="Arial" w:hint="eastAsia"/>
          <w:sz w:val="24"/>
        </w:rPr>
        <w:t>、</w:t>
      </w:r>
      <w:r>
        <w:rPr>
          <w:rFonts w:ascii="彩虹粗仿宋" w:eastAsia="彩虹粗仿宋" w:hAnsi="宋体" w:cs="Arial" w:hint="eastAsia"/>
          <w:bCs/>
          <w:sz w:val="24"/>
        </w:rPr>
        <w:t>因投资港股通标的股票而产生的各项合理费用</w:t>
      </w:r>
      <w:r>
        <w:rPr>
          <w:rFonts w:ascii="彩虹粗仿宋" w:eastAsia="彩虹粗仿宋" w:hAnsi="宋体" w:cs="Arial" w:hint="eastAsia"/>
          <w:sz w:val="24"/>
        </w:rPr>
        <w:t>及按照国家有关规定和《基金合同》约定，可以在基金财产中列支的其他费用，列入当期基金费用。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（四）不列入基金费用的项目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（五）基金管理费和基金托管费的调整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基金管理费和基金托管费，调整基金</w:t>
      </w:r>
      <w:r>
        <w:rPr>
          <w:rFonts w:ascii="彩虹粗仿宋" w:eastAsia="彩虹粗仿宋" w:hAnsi="宋体" w:cs="Arial"/>
          <w:sz w:val="24"/>
        </w:rPr>
        <w:t>管理费率、基金托管费率须召开</w:t>
      </w:r>
      <w:r>
        <w:rPr>
          <w:rFonts w:ascii="彩虹粗仿宋" w:eastAsia="彩虹粗仿宋" w:hAnsi="宋体" w:cs="Arial" w:hint="eastAsia"/>
          <w:sz w:val="24"/>
        </w:rPr>
        <w:t>基金份额持有人大会。基金管理人必须最迟于新的费率实施日前按照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在指定媒介上刊登公告。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（六）基金管理费和基金托管费的复核程序、支付方式和时间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的，支付日期顺延。费用自动扣划后，基金管理人应进行核对，如发现数据不符，及时联系基金托管人协商解决。</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2.基金管理人应及时将与本基金账务处理、资金划拨等有关的合同、协议传真基金托管人。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472897" w:rsidRDefault="00472897">
      <w:pPr>
        <w:adjustRightInd w:val="0"/>
        <w:snapToGrid w:val="0"/>
        <w:rPr>
          <w:rFonts w:ascii="彩虹粗仿宋" w:eastAsia="彩虹粗仿宋"/>
          <w:sz w:val="30"/>
          <w:szCs w:val="30"/>
        </w:rPr>
      </w:pPr>
    </w:p>
    <w:p w:rsidR="00472897" w:rsidRDefault="00BD4BFA">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(5)公告：基金管理人更换后，由基金托管人在更换基金管理人的基金份额持有人大会决议生效后依照《信息披露办法》的规定在指定媒介公告；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(2)依法解散、被依法撤销或被依法宣告破产；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决议自表决通过之日起生效，新任基金托管人应当符合法律法规及中国证监会规定的资格条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(5)公告：基金托管人更换后，由基金管理人在更换基金托管人的基金份额持有人大会决议生效后依照《信息披露办法》的规定在指定媒介公告；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3.公告：新任基金管理人和新任基金托管人应在更换基金管理人和基金托管人的基金份额持有人大会决议生效后依照《信息披露办法》的规定在指定媒介上联合公告。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w:t>
      </w:r>
      <w:r>
        <w:rPr>
          <w:rFonts w:ascii="彩虹粗仿宋" w:eastAsia="彩虹粗仿宋" w:hAnsi="宋体" w:cs="Arial" w:hint="eastAsia"/>
          <w:sz w:val="24"/>
        </w:rPr>
        <w:lastRenderedPageBreak/>
        <w:t>人牟取利益。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rsidR="00472897" w:rsidRDefault="00472897">
      <w:pPr>
        <w:adjustRightInd w:val="0"/>
        <w:snapToGrid w:val="0"/>
        <w:rPr>
          <w:rFonts w:ascii="彩虹粗仿宋" w:eastAsia="彩虹粗仿宋"/>
          <w:sz w:val="30"/>
          <w:szCs w:val="30"/>
        </w:rPr>
      </w:pPr>
    </w:p>
    <w:p w:rsidR="00472897" w:rsidRDefault="00BD4BFA">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472897" w:rsidRDefault="00BD4BF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(3)对基金财产进行估值和变现；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清算过程中的有关重大事项须及时公告；基金财产清算报告经具有证券、</w:t>
      </w:r>
      <w:r>
        <w:rPr>
          <w:rFonts w:ascii="彩虹粗仿宋" w:eastAsia="彩虹粗仿宋" w:hAnsi="宋体" w:cs="Arial"/>
          <w:sz w:val="24"/>
        </w:rPr>
        <w:t>期货</w:t>
      </w:r>
      <w:r>
        <w:rPr>
          <w:rFonts w:ascii="彩虹粗仿宋" w:eastAsia="彩虹粗仿宋" w:hAnsi="宋体" w:cs="Arial" w:hint="eastAsia"/>
          <w:sz w:val="24"/>
        </w:rPr>
        <w:t>相关业务资格的会计师事务所审计、并由律师事务所出具法律意见书后，报中国证监会备案并公告。基金财产清算公告于基金财产清算报告报中国证监会备案后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个工作日内由基金财产清算小组进行公告，基金财产清算小组应当将清算报告登载在指定网站上，并将清算报告提示性公告登载在指定报刊上。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w:t>
      </w:r>
      <w:r>
        <w:rPr>
          <w:rFonts w:ascii="彩虹粗仿宋" w:eastAsia="彩虹粗仿宋" w:hAnsi="宋体" w:cs="Arial" w:hint="eastAsia"/>
          <w:sz w:val="24"/>
        </w:rPr>
        <w:lastRenderedPageBreak/>
        <w:t>扩大的损失要求赔偿。非违约方因防止损失扩大而支出的合理费用由违约方承担。</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w:t>
      </w:r>
      <w:r>
        <w:rPr>
          <w:rFonts w:ascii="彩虹粗仿宋" w:eastAsia="彩虹粗仿宋" w:hAnsi="宋体" w:cs="Arial" w:hint="eastAsia"/>
          <w:sz w:val="24"/>
        </w:rPr>
        <w:lastRenderedPageBreak/>
        <w:t>议未尽事宜，当事人依据《基金合同》、有关法律法规等规定协商办理。</w:t>
      </w:r>
    </w:p>
    <w:p w:rsidR="00472897" w:rsidRDefault="00472897">
      <w:pPr>
        <w:adjustRightInd w:val="0"/>
        <w:snapToGrid w:val="0"/>
        <w:rPr>
          <w:rFonts w:ascii="彩虹粗仿宋" w:eastAsia="彩虹粗仿宋"/>
          <w:b/>
          <w:bCs/>
        </w:rPr>
      </w:pPr>
    </w:p>
    <w:p w:rsidR="00472897" w:rsidRDefault="00BD4BFA">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472897" w:rsidRDefault="00472897">
      <w:pPr>
        <w:adjustRightInd w:val="0"/>
        <w:snapToGrid w:val="0"/>
        <w:ind w:firstLineChars="200" w:firstLine="480"/>
        <w:rPr>
          <w:rFonts w:ascii="彩虹粗仿宋" w:eastAsia="彩虹粗仿宋" w:hAnsi="宋体" w:cs="Arial"/>
          <w:sz w:val="24"/>
        </w:rPr>
        <w:sectPr w:rsidR="00472897">
          <w:headerReference w:type="default" r:id="rId11"/>
          <w:pgSz w:w="11906" w:h="16838"/>
          <w:pgMar w:top="1418" w:right="1701" w:bottom="1418" w:left="1701" w:header="851" w:footer="992" w:gutter="0"/>
          <w:cols w:space="425"/>
          <w:docGrid w:type="lines" w:linePitch="312"/>
        </w:sectPr>
      </w:pPr>
    </w:p>
    <w:p w:rsidR="00472897" w:rsidRDefault="00BD4BFA">
      <w:pPr>
        <w:spacing w:line="360" w:lineRule="auto"/>
        <w:ind w:right="26"/>
        <w:rPr>
          <w:rFonts w:ascii="彩虹粗仿宋" w:eastAsia="彩虹粗仿宋"/>
          <w:sz w:val="24"/>
        </w:rPr>
      </w:pPr>
      <w:r>
        <w:rPr>
          <w:rFonts w:ascii="彩虹粗仿宋" w:eastAsia="彩虹粗仿宋" w:hint="eastAsia"/>
          <w:sz w:val="24"/>
        </w:rPr>
        <w:lastRenderedPageBreak/>
        <w:t>本页无正文，为《交银</w:t>
      </w:r>
      <w:r>
        <w:rPr>
          <w:rFonts w:ascii="彩虹粗仿宋" w:eastAsia="彩虹粗仿宋"/>
          <w:sz w:val="24"/>
        </w:rPr>
        <w:t>施罗德</w:t>
      </w:r>
      <w:r w:rsidR="00FA6C32">
        <w:rPr>
          <w:rFonts w:ascii="彩虹粗仿宋" w:eastAsia="彩虹粗仿宋" w:hint="eastAsia"/>
          <w:sz w:val="24"/>
        </w:rPr>
        <w:t>启明</w:t>
      </w:r>
      <w:r>
        <w:rPr>
          <w:rFonts w:ascii="彩虹粗仿宋" w:eastAsia="彩虹粗仿宋"/>
          <w:sz w:val="24"/>
        </w:rPr>
        <w:t>混合型</w:t>
      </w:r>
      <w:r>
        <w:rPr>
          <w:rFonts w:ascii="彩虹粗仿宋" w:eastAsia="彩虹粗仿宋" w:hint="eastAsia"/>
          <w:sz w:val="24"/>
        </w:rPr>
        <w:t>证券投资基金托管协议（草案</w:t>
      </w:r>
      <w:r>
        <w:rPr>
          <w:rFonts w:ascii="彩虹粗仿宋" w:eastAsia="彩虹粗仿宋"/>
          <w:sz w:val="24"/>
        </w:rPr>
        <w:t>）</w:t>
      </w:r>
      <w:r>
        <w:rPr>
          <w:rFonts w:ascii="彩虹粗仿宋" w:eastAsia="彩虹粗仿宋" w:hint="eastAsia"/>
          <w:sz w:val="24"/>
        </w:rPr>
        <w:t>》的签字盖章页。</w:t>
      </w:r>
    </w:p>
    <w:p w:rsidR="00472897" w:rsidRDefault="00472897">
      <w:pPr>
        <w:spacing w:line="360" w:lineRule="auto"/>
        <w:rPr>
          <w:rFonts w:ascii="彩虹粗仿宋" w:eastAsia="彩虹粗仿宋"/>
          <w:sz w:val="24"/>
        </w:rPr>
      </w:pPr>
    </w:p>
    <w:p w:rsidR="00472897" w:rsidRDefault="00472897">
      <w:pPr>
        <w:spacing w:line="360" w:lineRule="auto"/>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法定代表人或授权代表：</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rPr>
          <w:rFonts w:ascii="彩虹粗仿宋" w:eastAsia="彩虹粗仿宋"/>
          <w:sz w:val="24"/>
        </w:rPr>
      </w:pPr>
      <w:r>
        <w:rPr>
          <w:rFonts w:ascii="彩虹粗仿宋" w:eastAsia="彩虹粗仿宋" w:hint="eastAsia"/>
          <w:sz w:val="24"/>
        </w:rPr>
        <w:t>法定代表人或授权代表：</w:t>
      </w:r>
    </w:p>
    <w:p w:rsidR="00472897" w:rsidRDefault="00472897">
      <w:pPr>
        <w:rPr>
          <w:rFonts w:ascii="彩虹粗仿宋" w:eastAsia="彩虹粗仿宋"/>
          <w:sz w:val="24"/>
        </w:rPr>
      </w:pPr>
    </w:p>
    <w:p w:rsidR="00472897" w:rsidRDefault="00472897">
      <w:pPr>
        <w:rPr>
          <w:rFonts w:ascii="彩虹粗仿宋" w:eastAsia="彩虹粗仿宋"/>
          <w:sz w:val="24"/>
        </w:rPr>
      </w:pPr>
    </w:p>
    <w:p w:rsidR="00472897" w:rsidRDefault="00472897">
      <w:pPr>
        <w:rPr>
          <w:rFonts w:ascii="彩虹粗仿宋" w:eastAsia="彩虹粗仿宋"/>
          <w:sz w:val="24"/>
        </w:rPr>
      </w:pPr>
    </w:p>
    <w:p w:rsidR="00472897" w:rsidRDefault="00BD4BFA">
      <w:r>
        <w:rPr>
          <w:rFonts w:hint="eastAsia"/>
        </w:rPr>
        <w:t>签订地点：北京</w:t>
      </w:r>
    </w:p>
    <w:p w:rsidR="00472897" w:rsidRDefault="00472897"/>
    <w:p w:rsidR="00472897" w:rsidRDefault="00BD4BFA">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47289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DC2" w:rsidRDefault="00A03DC2">
      <w:r>
        <w:separator/>
      </w:r>
    </w:p>
  </w:endnote>
  <w:endnote w:type="continuationSeparator" w:id="0">
    <w:p w:rsidR="00A03DC2" w:rsidRDefault="00A0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897" w:rsidRDefault="00BD4BFA">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472897" w:rsidRDefault="0047289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897" w:rsidRDefault="00BD4BFA">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F56D99">
      <w:rPr>
        <w:rStyle w:val="af4"/>
        <w:noProof/>
      </w:rPr>
      <w:t>3</w:t>
    </w:r>
    <w:r>
      <w:rPr>
        <w:rStyle w:val="af4"/>
      </w:rPr>
      <w:fldChar w:fldCharType="end"/>
    </w:r>
  </w:p>
  <w:p w:rsidR="00472897" w:rsidRDefault="0047289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DC2" w:rsidRDefault="00A03DC2">
      <w:r>
        <w:separator/>
      </w:r>
    </w:p>
  </w:footnote>
  <w:footnote w:type="continuationSeparator" w:id="0">
    <w:p w:rsidR="00A03DC2" w:rsidRDefault="00A03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897" w:rsidRDefault="00BD4BFA">
    <w:pPr>
      <w:pStyle w:val="ae"/>
      <w:jc w:val="right"/>
    </w:pPr>
    <w:r>
      <w:rPr>
        <w:rFonts w:hint="eastAsia"/>
        <w:noProof/>
      </w:rPr>
      <w:drawing>
        <wp:anchor distT="0" distB="0" distL="114300" distR="114300" simplePos="0" relativeHeight="251658240" behindDoc="0" locked="0" layoutInCell="1" allowOverlap="1">
          <wp:simplePos x="0" y="0"/>
          <wp:positionH relativeFrom="margin">
            <wp:align>left</wp:align>
          </wp:positionH>
          <wp:positionV relativeFrom="paragraph">
            <wp:posOffset>-104140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r>
      <w:t>施罗德</w:t>
    </w:r>
    <w:r w:rsidR="00EA443B">
      <w:rPr>
        <w:rFonts w:hint="eastAsia"/>
      </w:rPr>
      <w:t>启明</w:t>
    </w:r>
    <w:r>
      <w:t>混合型证券投资基金</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897" w:rsidRDefault="00472897">
    <w:pPr>
      <w:pStyle w:val="a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7A03"/>
    <w:rsid w:val="0002708A"/>
    <w:rsid w:val="000451AA"/>
    <w:rsid w:val="0005262A"/>
    <w:rsid w:val="000701A7"/>
    <w:rsid w:val="0007422F"/>
    <w:rsid w:val="000B0F3F"/>
    <w:rsid w:val="000B68B2"/>
    <w:rsid w:val="000C297B"/>
    <w:rsid w:val="000C6593"/>
    <w:rsid w:val="000C7EBD"/>
    <w:rsid w:val="00103652"/>
    <w:rsid w:val="00126B23"/>
    <w:rsid w:val="00144253"/>
    <w:rsid w:val="00144D6D"/>
    <w:rsid w:val="001664ED"/>
    <w:rsid w:val="0018762A"/>
    <w:rsid w:val="00191972"/>
    <w:rsid w:val="001A21CE"/>
    <w:rsid w:val="001B0987"/>
    <w:rsid w:val="001B57BD"/>
    <w:rsid w:val="001C0465"/>
    <w:rsid w:val="001C2257"/>
    <w:rsid w:val="001E5623"/>
    <w:rsid w:val="001E7A03"/>
    <w:rsid w:val="001F2A75"/>
    <w:rsid w:val="00220F22"/>
    <w:rsid w:val="00231040"/>
    <w:rsid w:val="002310E9"/>
    <w:rsid w:val="00232E70"/>
    <w:rsid w:val="00251CA8"/>
    <w:rsid w:val="002569ED"/>
    <w:rsid w:val="00277CD9"/>
    <w:rsid w:val="002826A7"/>
    <w:rsid w:val="002905CF"/>
    <w:rsid w:val="00296AFE"/>
    <w:rsid w:val="002A1BE9"/>
    <w:rsid w:val="002B3B24"/>
    <w:rsid w:val="002C127D"/>
    <w:rsid w:val="002D1D54"/>
    <w:rsid w:val="002F094F"/>
    <w:rsid w:val="002F2931"/>
    <w:rsid w:val="003007B6"/>
    <w:rsid w:val="00305A55"/>
    <w:rsid w:val="00306741"/>
    <w:rsid w:val="00312783"/>
    <w:rsid w:val="00326339"/>
    <w:rsid w:val="00364A25"/>
    <w:rsid w:val="0036648F"/>
    <w:rsid w:val="0037231D"/>
    <w:rsid w:val="00381673"/>
    <w:rsid w:val="00391DC8"/>
    <w:rsid w:val="003A6DF6"/>
    <w:rsid w:val="003D0EEA"/>
    <w:rsid w:val="003D0F5F"/>
    <w:rsid w:val="003D583E"/>
    <w:rsid w:val="003E31DC"/>
    <w:rsid w:val="003E4611"/>
    <w:rsid w:val="003E71A8"/>
    <w:rsid w:val="00402FE3"/>
    <w:rsid w:val="0042215B"/>
    <w:rsid w:val="00424A4B"/>
    <w:rsid w:val="00424D8C"/>
    <w:rsid w:val="00434A73"/>
    <w:rsid w:val="00461B52"/>
    <w:rsid w:val="00462395"/>
    <w:rsid w:val="00472897"/>
    <w:rsid w:val="00473263"/>
    <w:rsid w:val="00482D1E"/>
    <w:rsid w:val="004A566A"/>
    <w:rsid w:val="004B0DAF"/>
    <w:rsid w:val="004C742F"/>
    <w:rsid w:val="004E14F3"/>
    <w:rsid w:val="004F5FC3"/>
    <w:rsid w:val="00530F17"/>
    <w:rsid w:val="00535B4B"/>
    <w:rsid w:val="00567488"/>
    <w:rsid w:val="0058092A"/>
    <w:rsid w:val="005933AC"/>
    <w:rsid w:val="005C092F"/>
    <w:rsid w:val="005D004A"/>
    <w:rsid w:val="005D4212"/>
    <w:rsid w:val="005F09CB"/>
    <w:rsid w:val="005F2FFD"/>
    <w:rsid w:val="00612D6F"/>
    <w:rsid w:val="00614707"/>
    <w:rsid w:val="0061608D"/>
    <w:rsid w:val="00621866"/>
    <w:rsid w:val="0063715B"/>
    <w:rsid w:val="00653BFA"/>
    <w:rsid w:val="006630C1"/>
    <w:rsid w:val="00670E5B"/>
    <w:rsid w:val="00673462"/>
    <w:rsid w:val="00695B55"/>
    <w:rsid w:val="006B5C2D"/>
    <w:rsid w:val="006F6389"/>
    <w:rsid w:val="00710C44"/>
    <w:rsid w:val="00723601"/>
    <w:rsid w:val="00737DC5"/>
    <w:rsid w:val="0076725A"/>
    <w:rsid w:val="00794699"/>
    <w:rsid w:val="00796807"/>
    <w:rsid w:val="007C0F90"/>
    <w:rsid w:val="007C5B5E"/>
    <w:rsid w:val="007D0866"/>
    <w:rsid w:val="007F5424"/>
    <w:rsid w:val="008516A6"/>
    <w:rsid w:val="008672D9"/>
    <w:rsid w:val="00883402"/>
    <w:rsid w:val="008B5E56"/>
    <w:rsid w:val="008E0B35"/>
    <w:rsid w:val="008F0D04"/>
    <w:rsid w:val="00923D50"/>
    <w:rsid w:val="00930190"/>
    <w:rsid w:val="009326C6"/>
    <w:rsid w:val="00940F72"/>
    <w:rsid w:val="009448C9"/>
    <w:rsid w:val="00945E83"/>
    <w:rsid w:val="009522F8"/>
    <w:rsid w:val="00954945"/>
    <w:rsid w:val="00962C31"/>
    <w:rsid w:val="00963F57"/>
    <w:rsid w:val="009A4EAE"/>
    <w:rsid w:val="009B3CCF"/>
    <w:rsid w:val="009E3187"/>
    <w:rsid w:val="009E691F"/>
    <w:rsid w:val="009E7DA5"/>
    <w:rsid w:val="009F5D6F"/>
    <w:rsid w:val="00A03DC2"/>
    <w:rsid w:val="00A64FA1"/>
    <w:rsid w:val="00A74EFA"/>
    <w:rsid w:val="00A80B44"/>
    <w:rsid w:val="00AE1EFF"/>
    <w:rsid w:val="00AF224B"/>
    <w:rsid w:val="00AF2283"/>
    <w:rsid w:val="00B16CA6"/>
    <w:rsid w:val="00B36E22"/>
    <w:rsid w:val="00B37D6C"/>
    <w:rsid w:val="00B53C60"/>
    <w:rsid w:val="00B6437B"/>
    <w:rsid w:val="00B90D0D"/>
    <w:rsid w:val="00BD4BFA"/>
    <w:rsid w:val="00BF4287"/>
    <w:rsid w:val="00BF7465"/>
    <w:rsid w:val="00C37790"/>
    <w:rsid w:val="00C71B46"/>
    <w:rsid w:val="00C955C5"/>
    <w:rsid w:val="00C962EB"/>
    <w:rsid w:val="00CE67A2"/>
    <w:rsid w:val="00CF7823"/>
    <w:rsid w:val="00D228C7"/>
    <w:rsid w:val="00D23A4A"/>
    <w:rsid w:val="00D247DE"/>
    <w:rsid w:val="00D33D96"/>
    <w:rsid w:val="00D36093"/>
    <w:rsid w:val="00D47703"/>
    <w:rsid w:val="00D50634"/>
    <w:rsid w:val="00D64ADB"/>
    <w:rsid w:val="00D67B20"/>
    <w:rsid w:val="00D93E41"/>
    <w:rsid w:val="00D958E9"/>
    <w:rsid w:val="00DB2260"/>
    <w:rsid w:val="00DB6C4E"/>
    <w:rsid w:val="00DB7496"/>
    <w:rsid w:val="00DC469F"/>
    <w:rsid w:val="00DE13C8"/>
    <w:rsid w:val="00DF2047"/>
    <w:rsid w:val="00DF3C08"/>
    <w:rsid w:val="00E24DD0"/>
    <w:rsid w:val="00E42C2C"/>
    <w:rsid w:val="00E43A23"/>
    <w:rsid w:val="00E46CAF"/>
    <w:rsid w:val="00E529B7"/>
    <w:rsid w:val="00E60B76"/>
    <w:rsid w:val="00EA031A"/>
    <w:rsid w:val="00EA443B"/>
    <w:rsid w:val="00EB13C7"/>
    <w:rsid w:val="00EC20B2"/>
    <w:rsid w:val="00EC2D72"/>
    <w:rsid w:val="00EC51F9"/>
    <w:rsid w:val="00ED6D65"/>
    <w:rsid w:val="00EF21C8"/>
    <w:rsid w:val="00EF56EB"/>
    <w:rsid w:val="00F16794"/>
    <w:rsid w:val="00F34E47"/>
    <w:rsid w:val="00F45A3A"/>
    <w:rsid w:val="00F56D99"/>
    <w:rsid w:val="00F66409"/>
    <w:rsid w:val="00F700E4"/>
    <w:rsid w:val="00F71EB1"/>
    <w:rsid w:val="00F75E96"/>
    <w:rsid w:val="00FA6C32"/>
    <w:rsid w:val="00FD58E5"/>
    <w:rsid w:val="00FF0D63"/>
    <w:rsid w:val="00FF40A9"/>
    <w:rsid w:val="383B7079"/>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793A2-E457-41E1-B7D2-0703AD0C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lsdException w:name="toc 8" w:semiHidden="1" w:uiPriority="0"/>
    <w:lsdException w:name="toc 9" w:semiHidden="1" w:uiPriority="0" w:qFormat="1"/>
    <w:lsdException w:name="Normal Indent" w:uiPriority="0"/>
    <w:lsdException w:name="footnote text" w:semiHidden="1" w:unhideWhenUsed="1"/>
    <w:lsdException w:name="annotation text" w:uiPriority="0"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TOC7">
    <w:name w:val="toc 7"/>
    <w:basedOn w:val="a"/>
    <w:next w:val="a"/>
    <w:semiHidden/>
    <w:pPr>
      <w:ind w:leftChars="1200" w:left="2520"/>
    </w:pPr>
  </w:style>
  <w:style w:type="paragraph" w:styleId="a4">
    <w:name w:val="annotation text"/>
    <w:basedOn w:val="a"/>
    <w:link w:val="a5"/>
    <w:qFormat/>
    <w:pPr>
      <w:jc w:val="left"/>
    </w:pPr>
  </w:style>
  <w:style w:type="paragraph" w:styleId="a6">
    <w:name w:val="Body Text"/>
    <w:basedOn w:val="a"/>
    <w:link w:val="a7"/>
    <w:qFormat/>
    <w:pPr>
      <w:spacing w:line="360" w:lineRule="auto"/>
    </w:pPr>
    <w:rPr>
      <w:rFonts w:ascii="仿宋_GB2312" w:eastAsia="仿宋_GB2312"/>
      <w:color w:val="000000"/>
      <w:kern w:val="0"/>
      <w:sz w:val="24"/>
      <w:szCs w:val="28"/>
    </w:rPr>
  </w:style>
  <w:style w:type="paragraph" w:styleId="a8">
    <w:name w:val="Body Text Indent"/>
    <w:basedOn w:val="a"/>
    <w:link w:val="a9"/>
    <w:qFormat/>
    <w:pPr>
      <w:adjustRightInd w:val="0"/>
      <w:snapToGrid w:val="0"/>
      <w:spacing w:line="560" w:lineRule="exact"/>
      <w:ind w:firstLineChars="200" w:firstLine="480"/>
    </w:pPr>
    <w:rPr>
      <w:rFonts w:eastAsia="方正仿宋简体"/>
      <w:sz w:val="24"/>
      <w:szCs w:val="30"/>
    </w:rPr>
  </w:style>
  <w:style w:type="paragraph" w:styleId="TOC5">
    <w:name w:val="toc 5"/>
    <w:basedOn w:val="a"/>
    <w:next w:val="a"/>
    <w:semiHidden/>
    <w:pPr>
      <w:ind w:leftChars="800" w:left="1680"/>
    </w:pPr>
  </w:style>
  <w:style w:type="paragraph" w:styleId="TOC3">
    <w:name w:val="toc 3"/>
    <w:basedOn w:val="a"/>
    <w:next w:val="a"/>
    <w:semiHidden/>
    <w:qFormat/>
    <w:pPr>
      <w:ind w:leftChars="400" w:left="840"/>
    </w:pPr>
  </w:style>
  <w:style w:type="paragraph" w:styleId="TOC8">
    <w:name w:val="toc 8"/>
    <w:basedOn w:val="a"/>
    <w:next w:val="a"/>
    <w:semiHidden/>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a">
    <w:name w:val="Balloon Text"/>
    <w:basedOn w:val="a"/>
    <w:link w:val="ab"/>
    <w:semiHidden/>
    <w:qFormat/>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style>
  <w:style w:type="paragraph" w:styleId="TOC4">
    <w:name w:val="toc 4"/>
    <w:basedOn w:val="a"/>
    <w:next w:val="a"/>
    <w:semiHidden/>
    <w:qFormat/>
    <w:pPr>
      <w:ind w:leftChars="600" w:left="1260"/>
    </w:pPr>
  </w:style>
  <w:style w:type="paragraph" w:styleId="TOC6">
    <w:name w:val="toc 6"/>
    <w:basedOn w:val="a"/>
    <w:next w:val="a"/>
    <w:semiHidden/>
    <w:qFormat/>
    <w:pPr>
      <w:ind w:leftChars="1000" w:left="2100"/>
    </w:pPr>
  </w:style>
  <w:style w:type="paragraph" w:styleId="3">
    <w:name w:val="Body Text Indent 3"/>
    <w:basedOn w:val="a"/>
    <w:link w:val="30"/>
    <w:qFormat/>
    <w:pPr>
      <w:adjustRightInd w:val="0"/>
      <w:snapToGrid w:val="0"/>
      <w:ind w:firstLineChars="200" w:firstLine="480"/>
    </w:pPr>
    <w:rPr>
      <w:rFonts w:ascii="仿宋_GB2312" w:eastAsia="仿宋_GB2312" w:hAnsi="宋体" w:cs="Arial"/>
      <w:color w:val="000000"/>
      <w:sz w:val="24"/>
    </w:rPr>
  </w:style>
  <w:style w:type="paragraph" w:styleId="TOC2">
    <w:name w:val="toc 2"/>
    <w:basedOn w:val="a"/>
    <w:next w:val="a"/>
    <w:semiHidden/>
    <w:qFormat/>
    <w:pPr>
      <w:ind w:leftChars="200" w:left="420"/>
    </w:pPr>
  </w:style>
  <w:style w:type="paragraph" w:styleId="TOC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rPr>
      <w:b/>
      <w:bCs/>
    </w:rPr>
  </w:style>
  <w:style w:type="character" w:styleId="af3">
    <w:name w:val="Strong"/>
    <w:qFormat/>
    <w:rPr>
      <w:b/>
      <w:bCs/>
    </w:rPr>
  </w:style>
  <w:style w:type="character" w:styleId="af4">
    <w:name w:val="page number"/>
    <w:basedOn w:val="a1"/>
    <w:qFormat/>
  </w:style>
  <w:style w:type="character" w:styleId="af5">
    <w:name w:val="FollowedHyperlink"/>
    <w:basedOn w:val="a1"/>
    <w:uiPriority w:val="99"/>
    <w:semiHidden/>
    <w:unhideWhenUsed/>
    <w:rPr>
      <w:color w:val="954F72" w:themeColor="followedHyperlink"/>
      <w:u w:val="single"/>
    </w:rPr>
  </w:style>
  <w:style w:type="character" w:styleId="af6">
    <w:name w:val="Hyperlink"/>
    <w:rPr>
      <w:color w:val="0000FF"/>
      <w:u w:val="single"/>
    </w:rPr>
  </w:style>
  <w:style w:type="character" w:styleId="af7">
    <w:name w:val="annotation reference"/>
    <w:rPr>
      <w:sz w:val="21"/>
      <w:szCs w:val="21"/>
    </w:rPr>
  </w:style>
  <w:style w:type="character" w:customStyle="1" w:styleId="20">
    <w:name w:val="标题 2 字符"/>
    <w:basedOn w:val="a1"/>
    <w:link w:val="2"/>
    <w:rPr>
      <w:rFonts w:ascii="Arial" w:eastAsia="黑体" w:hAnsi="Arial" w:cs="Times New Roman"/>
      <w:b/>
      <w:sz w:val="32"/>
      <w:szCs w:val="20"/>
    </w:rPr>
  </w:style>
  <w:style w:type="character" w:customStyle="1" w:styleId="af">
    <w:name w:val="页眉 字符"/>
    <w:basedOn w:val="a1"/>
    <w:link w:val="ae"/>
    <w:rPr>
      <w:rFonts w:ascii="Times New Roman" w:eastAsia="宋体" w:hAnsi="Times New Roman" w:cs="Times New Roman"/>
      <w:sz w:val="18"/>
      <w:szCs w:val="18"/>
    </w:rPr>
  </w:style>
  <w:style w:type="character" w:customStyle="1" w:styleId="ad">
    <w:name w:val="页脚 字符"/>
    <w:basedOn w:val="a1"/>
    <w:link w:val="ac"/>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a7">
    <w:name w:val="正文文本 字符"/>
    <w:basedOn w:val="a1"/>
    <w:link w:val="a6"/>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9">
    <w:name w:val="正文文本缩进 字符"/>
    <w:basedOn w:val="a1"/>
    <w:link w:val="a8"/>
    <w:qFormat/>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0">
    <w:name w:val="正文文本缩进 3 字符"/>
    <w:basedOn w:val="a1"/>
    <w:link w:val="3"/>
    <w:rPr>
      <w:rFonts w:ascii="仿宋_GB2312" w:eastAsia="仿宋_GB2312" w:hAnsi="宋体" w:cs="Arial"/>
      <w:color w:val="000000"/>
      <w:sz w:val="24"/>
      <w:szCs w:val="24"/>
    </w:rPr>
  </w:style>
  <w:style w:type="character" w:customStyle="1" w:styleId="ab">
    <w:name w:val="批注框文本 字符"/>
    <w:basedOn w:val="a1"/>
    <w:link w:val="aa"/>
    <w:semiHidden/>
    <w:qFormat/>
    <w:rPr>
      <w:rFonts w:ascii="Times New Roman" w:eastAsia="宋体" w:hAnsi="Times New Roman" w:cs="Times New Roman"/>
      <w:sz w:val="18"/>
      <w:szCs w:val="18"/>
    </w:rPr>
  </w:style>
  <w:style w:type="paragraph" w:customStyle="1" w:styleId="Char">
    <w:name w:val="Char"/>
    <w:basedOn w:val="a"/>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a5">
    <w:name w:val="批注文字 字符"/>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f2">
    <w:name w:val="批注主题 字符"/>
    <w:basedOn w:val="a5"/>
    <w:link w:val="af1"/>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paragraph" w:styleId="af8">
    <w:name w:val="Revision"/>
    <w:hidden/>
    <w:uiPriority w:val="99"/>
    <w:semiHidden/>
    <w:rsid w:val="00B53C6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2F6C2-3B3E-44DC-BA9F-F0281BB2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4767</Words>
  <Characters>27177</Characters>
  <Application>Microsoft Office Word</Application>
  <DocSecurity>0</DocSecurity>
  <Lines>226</Lines>
  <Paragraphs>63</Paragraphs>
  <ScaleCrop>false</ScaleCrop>
  <Company>Microsoft</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张敏峻</cp:lastModifiedBy>
  <cp:revision>54</cp:revision>
  <cp:lastPrinted>2019-09-19T08:32:00Z</cp:lastPrinted>
  <dcterms:created xsi:type="dcterms:W3CDTF">2019-07-31T05:23:00Z</dcterms:created>
  <dcterms:modified xsi:type="dcterms:W3CDTF">2020-04-24T02:21:00Z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