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3FE29E" w14:textId="77777777" w:rsidR="002E5B15" w:rsidRDefault="002E5B15">
      <w:pPr>
        <w:adjustRightInd w:val="0"/>
        <w:snapToGrid w:val="0"/>
        <w:jc w:val="center"/>
        <w:rPr>
          <w:rFonts w:ascii="仿宋" w:eastAsia="仿宋" w:hAnsi="仿宋" w:cs="仿宋"/>
          <w:sz w:val="24"/>
        </w:rPr>
      </w:pPr>
    </w:p>
    <w:p w14:paraId="59E5812B" w14:textId="77777777" w:rsidR="002E5B15" w:rsidRDefault="002E5B15">
      <w:pPr>
        <w:adjustRightInd w:val="0"/>
        <w:snapToGrid w:val="0"/>
        <w:jc w:val="center"/>
        <w:rPr>
          <w:rFonts w:ascii="仿宋" w:eastAsia="仿宋" w:hAnsi="仿宋" w:cs="仿宋"/>
          <w:sz w:val="24"/>
        </w:rPr>
      </w:pPr>
    </w:p>
    <w:p w14:paraId="54992A2F" w14:textId="77777777" w:rsidR="002E5B15" w:rsidRDefault="002E5B15">
      <w:pPr>
        <w:adjustRightInd w:val="0"/>
        <w:snapToGrid w:val="0"/>
        <w:jc w:val="center"/>
        <w:rPr>
          <w:rFonts w:ascii="仿宋" w:eastAsia="仿宋" w:hAnsi="仿宋" w:cs="仿宋"/>
          <w:sz w:val="24"/>
        </w:rPr>
      </w:pPr>
    </w:p>
    <w:p w14:paraId="12F42591" w14:textId="77777777" w:rsidR="002E5B15" w:rsidRDefault="002E5B15">
      <w:pPr>
        <w:adjustRightInd w:val="0"/>
        <w:snapToGrid w:val="0"/>
        <w:jc w:val="center"/>
        <w:rPr>
          <w:rFonts w:ascii="仿宋" w:eastAsia="仿宋" w:hAnsi="仿宋" w:cs="仿宋"/>
          <w:sz w:val="24"/>
        </w:rPr>
      </w:pPr>
    </w:p>
    <w:p w14:paraId="3B51F302" w14:textId="77777777" w:rsidR="002E5B15" w:rsidRDefault="002E5B15">
      <w:pPr>
        <w:adjustRightInd w:val="0"/>
        <w:snapToGrid w:val="0"/>
        <w:jc w:val="center"/>
        <w:rPr>
          <w:rFonts w:ascii="仿宋" w:eastAsia="仿宋" w:hAnsi="仿宋" w:cs="仿宋"/>
          <w:sz w:val="24"/>
        </w:rPr>
      </w:pPr>
    </w:p>
    <w:p w14:paraId="51E46A91" w14:textId="77777777" w:rsidR="002E5B15" w:rsidRDefault="002E5B15">
      <w:pPr>
        <w:adjustRightInd w:val="0"/>
        <w:snapToGrid w:val="0"/>
        <w:jc w:val="center"/>
        <w:rPr>
          <w:rFonts w:ascii="仿宋" w:eastAsia="仿宋" w:hAnsi="仿宋" w:cs="仿宋"/>
          <w:sz w:val="24"/>
        </w:rPr>
      </w:pPr>
    </w:p>
    <w:p w14:paraId="42D92A85" w14:textId="77777777" w:rsidR="002E5B15" w:rsidRDefault="002E5B15">
      <w:pPr>
        <w:adjustRightInd w:val="0"/>
        <w:snapToGrid w:val="0"/>
        <w:jc w:val="center"/>
        <w:rPr>
          <w:rFonts w:ascii="仿宋" w:eastAsia="仿宋" w:hAnsi="仿宋" w:cs="仿宋"/>
          <w:sz w:val="24"/>
        </w:rPr>
      </w:pPr>
    </w:p>
    <w:p w14:paraId="20411519" w14:textId="77777777" w:rsidR="002E5B15" w:rsidRDefault="002E5B15">
      <w:pPr>
        <w:adjustRightInd w:val="0"/>
        <w:snapToGrid w:val="0"/>
        <w:jc w:val="center"/>
        <w:rPr>
          <w:rFonts w:ascii="仿宋" w:eastAsia="仿宋" w:hAnsi="仿宋" w:cs="仿宋"/>
          <w:sz w:val="24"/>
        </w:rPr>
      </w:pPr>
    </w:p>
    <w:p w14:paraId="7BD31F51" w14:textId="77777777" w:rsidR="002E5B15" w:rsidRDefault="002E5B15">
      <w:pPr>
        <w:adjustRightInd w:val="0"/>
        <w:snapToGrid w:val="0"/>
        <w:jc w:val="center"/>
        <w:rPr>
          <w:rFonts w:ascii="仿宋" w:eastAsia="仿宋" w:hAnsi="仿宋" w:cs="仿宋"/>
          <w:sz w:val="24"/>
        </w:rPr>
      </w:pPr>
    </w:p>
    <w:p w14:paraId="6D657251" w14:textId="77777777" w:rsidR="002E5B15" w:rsidRDefault="002E5B15">
      <w:pPr>
        <w:adjustRightInd w:val="0"/>
        <w:snapToGrid w:val="0"/>
        <w:jc w:val="center"/>
        <w:rPr>
          <w:rFonts w:ascii="仿宋" w:eastAsia="仿宋" w:hAnsi="仿宋" w:cs="仿宋"/>
          <w:sz w:val="24"/>
        </w:rPr>
      </w:pPr>
    </w:p>
    <w:p w14:paraId="67DF6C0F" w14:textId="77777777" w:rsidR="002E5B15" w:rsidRDefault="002E5B15">
      <w:pPr>
        <w:adjustRightInd w:val="0"/>
        <w:snapToGrid w:val="0"/>
        <w:jc w:val="center"/>
        <w:rPr>
          <w:rFonts w:ascii="仿宋" w:eastAsia="仿宋" w:hAnsi="仿宋" w:cs="仿宋"/>
          <w:sz w:val="24"/>
        </w:rPr>
      </w:pPr>
    </w:p>
    <w:p w14:paraId="0141652D" w14:textId="77777777" w:rsidR="002E5B15" w:rsidRDefault="009C5419">
      <w:pPr>
        <w:adjustRightInd w:val="0"/>
        <w:snapToGrid w:val="0"/>
        <w:jc w:val="center"/>
        <w:rPr>
          <w:rFonts w:ascii="仿宋" w:eastAsia="仿宋" w:hAnsi="仿宋" w:cs="仿宋"/>
          <w:b/>
          <w:sz w:val="44"/>
        </w:rPr>
      </w:pPr>
      <w:r>
        <w:rPr>
          <w:rFonts w:ascii="仿宋" w:eastAsia="仿宋" w:hAnsi="仿宋" w:cs="仿宋" w:hint="eastAsia"/>
          <w:b/>
          <w:sz w:val="44"/>
        </w:rPr>
        <w:t>景顺长城价值领航两年持有期混合型证券投资基金</w:t>
      </w:r>
    </w:p>
    <w:p w14:paraId="44D32E23" w14:textId="020FDA93" w:rsidR="002E5B15" w:rsidRDefault="009C5419">
      <w:pPr>
        <w:adjustRightInd w:val="0"/>
        <w:snapToGrid w:val="0"/>
        <w:jc w:val="center"/>
        <w:rPr>
          <w:rFonts w:ascii="仿宋" w:eastAsia="仿宋" w:hAnsi="仿宋" w:cs="仿宋"/>
          <w:b/>
          <w:sz w:val="44"/>
        </w:rPr>
      </w:pPr>
      <w:r>
        <w:rPr>
          <w:rFonts w:ascii="仿宋" w:eastAsia="仿宋" w:hAnsi="仿宋" w:cs="仿宋" w:hint="eastAsia"/>
          <w:b/>
          <w:sz w:val="44"/>
        </w:rPr>
        <w:t>托管协议</w:t>
      </w:r>
    </w:p>
    <w:p w14:paraId="749DD6CB" w14:textId="77777777" w:rsidR="002E5B15" w:rsidRDefault="002E5B15">
      <w:pPr>
        <w:adjustRightInd w:val="0"/>
        <w:snapToGrid w:val="0"/>
        <w:jc w:val="center"/>
        <w:outlineLvl w:val="0"/>
        <w:rPr>
          <w:rFonts w:ascii="仿宋" w:eastAsia="仿宋" w:hAnsi="仿宋" w:cs="仿宋"/>
          <w:sz w:val="24"/>
        </w:rPr>
      </w:pPr>
    </w:p>
    <w:p w14:paraId="66462C7E" w14:textId="77777777" w:rsidR="002E5B15" w:rsidRDefault="002E5B15">
      <w:pPr>
        <w:adjustRightInd w:val="0"/>
        <w:snapToGrid w:val="0"/>
        <w:jc w:val="center"/>
        <w:outlineLvl w:val="0"/>
        <w:rPr>
          <w:rFonts w:ascii="仿宋" w:eastAsia="仿宋" w:hAnsi="仿宋" w:cs="仿宋"/>
          <w:sz w:val="24"/>
        </w:rPr>
      </w:pPr>
    </w:p>
    <w:p w14:paraId="2D25DCA1" w14:textId="77777777" w:rsidR="002E5B15" w:rsidRDefault="002E5B15">
      <w:pPr>
        <w:adjustRightInd w:val="0"/>
        <w:snapToGrid w:val="0"/>
        <w:jc w:val="center"/>
        <w:outlineLvl w:val="0"/>
        <w:rPr>
          <w:rFonts w:ascii="仿宋" w:eastAsia="仿宋" w:hAnsi="仿宋" w:cs="仿宋"/>
          <w:sz w:val="24"/>
        </w:rPr>
      </w:pPr>
    </w:p>
    <w:p w14:paraId="208DD3D2" w14:textId="77777777" w:rsidR="002E5B15" w:rsidRDefault="002E5B15">
      <w:pPr>
        <w:adjustRightInd w:val="0"/>
        <w:snapToGrid w:val="0"/>
        <w:jc w:val="center"/>
        <w:outlineLvl w:val="0"/>
        <w:rPr>
          <w:rFonts w:ascii="仿宋" w:eastAsia="仿宋" w:hAnsi="仿宋" w:cs="仿宋"/>
          <w:sz w:val="24"/>
        </w:rPr>
      </w:pPr>
    </w:p>
    <w:p w14:paraId="7C03F621" w14:textId="77777777" w:rsidR="002E5B15" w:rsidRDefault="002E5B15">
      <w:pPr>
        <w:adjustRightInd w:val="0"/>
        <w:snapToGrid w:val="0"/>
        <w:jc w:val="center"/>
        <w:outlineLvl w:val="0"/>
        <w:rPr>
          <w:rFonts w:ascii="仿宋" w:eastAsia="仿宋" w:hAnsi="仿宋" w:cs="仿宋"/>
          <w:sz w:val="24"/>
        </w:rPr>
      </w:pPr>
    </w:p>
    <w:p w14:paraId="3F063DD5" w14:textId="77777777" w:rsidR="002E5B15" w:rsidRDefault="002E5B15">
      <w:pPr>
        <w:adjustRightInd w:val="0"/>
        <w:snapToGrid w:val="0"/>
        <w:jc w:val="center"/>
        <w:outlineLvl w:val="0"/>
        <w:rPr>
          <w:rFonts w:ascii="仿宋" w:eastAsia="仿宋" w:hAnsi="仿宋" w:cs="仿宋"/>
          <w:sz w:val="24"/>
        </w:rPr>
      </w:pPr>
    </w:p>
    <w:p w14:paraId="6D7EF94E" w14:textId="77777777" w:rsidR="002E5B15" w:rsidRDefault="002E5B15">
      <w:pPr>
        <w:adjustRightInd w:val="0"/>
        <w:snapToGrid w:val="0"/>
        <w:jc w:val="center"/>
        <w:outlineLvl w:val="0"/>
        <w:rPr>
          <w:rFonts w:ascii="仿宋" w:eastAsia="仿宋" w:hAnsi="仿宋" w:cs="仿宋"/>
          <w:sz w:val="24"/>
        </w:rPr>
      </w:pPr>
    </w:p>
    <w:p w14:paraId="3B2F18E0" w14:textId="77777777" w:rsidR="002E5B15" w:rsidRDefault="002E5B15">
      <w:pPr>
        <w:adjustRightInd w:val="0"/>
        <w:snapToGrid w:val="0"/>
        <w:jc w:val="center"/>
        <w:outlineLvl w:val="0"/>
        <w:rPr>
          <w:rFonts w:ascii="仿宋" w:eastAsia="仿宋" w:hAnsi="仿宋" w:cs="仿宋"/>
          <w:sz w:val="24"/>
        </w:rPr>
      </w:pPr>
    </w:p>
    <w:p w14:paraId="18DA26D0" w14:textId="77777777" w:rsidR="002E5B15" w:rsidRDefault="002E5B15">
      <w:pPr>
        <w:adjustRightInd w:val="0"/>
        <w:snapToGrid w:val="0"/>
        <w:jc w:val="center"/>
        <w:outlineLvl w:val="0"/>
        <w:rPr>
          <w:rFonts w:ascii="仿宋" w:eastAsia="仿宋" w:hAnsi="仿宋" w:cs="仿宋"/>
          <w:sz w:val="24"/>
        </w:rPr>
      </w:pPr>
    </w:p>
    <w:p w14:paraId="040FC073" w14:textId="77777777" w:rsidR="002E5B15" w:rsidRDefault="009C5419">
      <w:pPr>
        <w:adjustRightInd w:val="0"/>
        <w:snapToGrid w:val="0"/>
        <w:jc w:val="center"/>
        <w:outlineLvl w:val="0"/>
        <w:rPr>
          <w:rFonts w:ascii="仿宋" w:eastAsia="仿宋" w:hAnsi="仿宋" w:cs="仿宋"/>
          <w:b/>
          <w:bCs/>
          <w:sz w:val="28"/>
        </w:rPr>
      </w:pPr>
      <w:r>
        <w:rPr>
          <w:rFonts w:ascii="仿宋" w:eastAsia="仿宋" w:hAnsi="仿宋" w:cs="仿宋" w:hint="eastAsia"/>
          <w:b/>
          <w:bCs/>
          <w:sz w:val="28"/>
        </w:rPr>
        <w:t>基金管理人：景顺长城基金管理有限公司</w:t>
      </w:r>
    </w:p>
    <w:p w14:paraId="6B56A8CF" w14:textId="77777777" w:rsidR="002E5B15" w:rsidRDefault="009C5419">
      <w:pPr>
        <w:adjustRightInd w:val="0"/>
        <w:snapToGrid w:val="0"/>
        <w:jc w:val="center"/>
        <w:outlineLvl w:val="0"/>
        <w:rPr>
          <w:rFonts w:ascii="仿宋" w:eastAsia="仿宋" w:hAnsi="仿宋" w:cs="仿宋"/>
          <w:b/>
          <w:bCs/>
          <w:sz w:val="28"/>
        </w:rPr>
      </w:pPr>
      <w:r>
        <w:rPr>
          <w:rFonts w:ascii="仿宋" w:eastAsia="仿宋" w:hAnsi="仿宋" w:cs="仿宋" w:hint="eastAsia"/>
          <w:b/>
          <w:bCs/>
          <w:sz w:val="28"/>
        </w:rPr>
        <w:t>基金托管人：中国建设银行股份有限公司</w:t>
      </w:r>
    </w:p>
    <w:p w14:paraId="7696ED67" w14:textId="77777777" w:rsidR="002E5B15" w:rsidRDefault="002E5B15">
      <w:pPr>
        <w:adjustRightInd w:val="0"/>
        <w:snapToGrid w:val="0"/>
        <w:jc w:val="center"/>
        <w:outlineLvl w:val="0"/>
        <w:rPr>
          <w:rFonts w:ascii="仿宋" w:eastAsia="仿宋" w:hAnsi="仿宋" w:cs="仿宋"/>
          <w:sz w:val="24"/>
        </w:rPr>
      </w:pPr>
    </w:p>
    <w:p w14:paraId="171E9151" w14:textId="77777777" w:rsidR="002E5B15" w:rsidRPr="00EB6512" w:rsidRDefault="002E5B15">
      <w:pPr>
        <w:adjustRightInd w:val="0"/>
        <w:snapToGrid w:val="0"/>
        <w:jc w:val="center"/>
        <w:outlineLvl w:val="0"/>
        <w:rPr>
          <w:rFonts w:ascii="仿宋" w:eastAsia="仿宋" w:hAnsi="仿宋" w:cs="仿宋"/>
          <w:sz w:val="24"/>
        </w:rPr>
      </w:pPr>
    </w:p>
    <w:p w14:paraId="0AB97E83" w14:textId="77777777" w:rsidR="002E5B15" w:rsidRDefault="002E5B15">
      <w:pPr>
        <w:adjustRightInd w:val="0"/>
        <w:snapToGrid w:val="0"/>
        <w:jc w:val="center"/>
        <w:outlineLvl w:val="0"/>
        <w:rPr>
          <w:rFonts w:ascii="仿宋" w:eastAsia="仿宋" w:hAnsi="仿宋" w:cs="仿宋"/>
          <w:sz w:val="24"/>
        </w:rPr>
      </w:pPr>
    </w:p>
    <w:p w14:paraId="09370FE8" w14:textId="677E14AB" w:rsidR="002E5B15" w:rsidRDefault="009C5419">
      <w:pPr>
        <w:adjustRightInd w:val="0"/>
        <w:snapToGrid w:val="0"/>
        <w:outlineLvl w:val="0"/>
        <w:rPr>
          <w:rFonts w:ascii="仿宋" w:eastAsia="仿宋" w:hAnsi="仿宋" w:cs="仿宋"/>
          <w:sz w:val="24"/>
        </w:rPr>
      </w:pPr>
      <w:r>
        <w:rPr>
          <w:rFonts w:ascii="仿宋" w:eastAsia="仿宋" w:hAnsi="仿宋" w:cs="仿宋" w:hint="eastAsia"/>
          <w:sz w:val="24"/>
        </w:rPr>
        <w:t xml:space="preserve">                    </w:t>
      </w:r>
    </w:p>
    <w:p w14:paraId="6510E18A" w14:textId="77777777" w:rsidR="002E5B15" w:rsidRDefault="002E5B15">
      <w:pPr>
        <w:adjustRightInd w:val="0"/>
        <w:snapToGrid w:val="0"/>
        <w:rPr>
          <w:rFonts w:ascii="仿宋" w:eastAsia="仿宋" w:hAnsi="仿宋" w:cs="仿宋"/>
          <w:bCs/>
          <w:sz w:val="24"/>
        </w:rPr>
      </w:pPr>
    </w:p>
    <w:p w14:paraId="53A955AE" w14:textId="77777777" w:rsidR="002E5B15" w:rsidRDefault="009C5419">
      <w:pPr>
        <w:jc w:val="center"/>
        <w:rPr>
          <w:rFonts w:ascii="仿宋" w:eastAsia="仿宋" w:hAnsi="仿宋" w:cs="仿宋"/>
          <w:b/>
          <w:bCs/>
          <w:sz w:val="30"/>
        </w:rPr>
      </w:pPr>
      <w:r>
        <w:rPr>
          <w:rFonts w:ascii="仿宋" w:eastAsia="仿宋" w:hAnsi="仿宋" w:cs="仿宋" w:hint="eastAsia"/>
          <w:b/>
          <w:bCs/>
          <w:sz w:val="30"/>
        </w:rPr>
        <w:lastRenderedPageBreak/>
        <w:t>目    录</w:t>
      </w:r>
    </w:p>
    <w:p w14:paraId="2248D94B" w14:textId="0B16F060" w:rsidR="002E5B15" w:rsidRDefault="009C5419">
      <w:pPr>
        <w:pStyle w:val="21"/>
        <w:tabs>
          <w:tab w:val="right" w:leader="dot" w:pos="8494"/>
        </w:tabs>
        <w:rPr>
          <w:rFonts w:ascii="仿宋" w:eastAsia="仿宋" w:hAnsi="仿宋" w:cs="仿宋"/>
          <w:noProof/>
          <w:sz w:val="28"/>
        </w:rPr>
      </w:pPr>
      <w:r>
        <w:rPr>
          <w:rFonts w:ascii="仿宋" w:eastAsia="仿宋" w:hAnsi="仿宋" w:cs="仿宋" w:hint="eastAsia"/>
          <w:sz w:val="28"/>
        </w:rPr>
        <w:fldChar w:fldCharType="begin"/>
      </w:r>
      <w:r>
        <w:rPr>
          <w:rFonts w:ascii="仿宋" w:eastAsia="仿宋" w:hAnsi="仿宋" w:cs="仿宋" w:hint="eastAsia"/>
          <w:sz w:val="28"/>
        </w:rPr>
        <w:instrText xml:space="preserve"> TOC \o "1-2" \h \z </w:instrText>
      </w:r>
      <w:r>
        <w:rPr>
          <w:rFonts w:ascii="仿宋" w:eastAsia="仿宋" w:hAnsi="仿宋" w:cs="仿宋" w:hint="eastAsia"/>
          <w:sz w:val="28"/>
        </w:rPr>
        <w:fldChar w:fldCharType="separate"/>
      </w:r>
      <w:hyperlink w:anchor="_Toc124325885" w:history="1">
        <w:r>
          <w:rPr>
            <w:rStyle w:val="af"/>
            <w:rFonts w:ascii="仿宋" w:eastAsia="仿宋" w:hAnsi="仿宋" w:cs="仿宋" w:hint="eastAsia"/>
            <w:noProof/>
            <w:sz w:val="28"/>
            <w:szCs w:val="32"/>
          </w:rPr>
          <w:t>一、基金托管协议当事人</w:t>
        </w:r>
        <w:r>
          <w:rPr>
            <w:rFonts w:ascii="仿宋" w:eastAsia="仿宋" w:hAnsi="仿宋" w:cs="仿宋" w:hint="eastAsia"/>
            <w:noProof/>
            <w:sz w:val="28"/>
          </w:rPr>
          <w:tab/>
        </w:r>
        <w:r>
          <w:rPr>
            <w:rFonts w:ascii="仿宋" w:eastAsia="仿宋" w:hAnsi="仿宋" w:cs="仿宋" w:hint="eastAsia"/>
            <w:noProof/>
            <w:sz w:val="28"/>
          </w:rPr>
          <w:fldChar w:fldCharType="begin"/>
        </w:r>
        <w:r>
          <w:rPr>
            <w:rFonts w:ascii="仿宋" w:eastAsia="仿宋" w:hAnsi="仿宋" w:cs="仿宋" w:hint="eastAsia"/>
            <w:noProof/>
            <w:sz w:val="28"/>
          </w:rPr>
          <w:instrText xml:space="preserve"> PAGEREF _Toc124325885 \h </w:instrText>
        </w:r>
        <w:r>
          <w:rPr>
            <w:rFonts w:ascii="仿宋" w:eastAsia="仿宋" w:hAnsi="仿宋" w:cs="仿宋" w:hint="eastAsia"/>
            <w:noProof/>
            <w:sz w:val="28"/>
          </w:rPr>
        </w:r>
        <w:r>
          <w:rPr>
            <w:rFonts w:ascii="仿宋" w:eastAsia="仿宋" w:hAnsi="仿宋" w:cs="仿宋" w:hint="eastAsia"/>
            <w:noProof/>
            <w:sz w:val="28"/>
          </w:rPr>
          <w:fldChar w:fldCharType="separate"/>
        </w:r>
        <w:r w:rsidR="00EB6512">
          <w:rPr>
            <w:rFonts w:ascii="仿宋" w:eastAsia="仿宋" w:hAnsi="仿宋" w:cs="仿宋"/>
            <w:noProof/>
            <w:sz w:val="28"/>
          </w:rPr>
          <w:t>3</w:t>
        </w:r>
        <w:r>
          <w:rPr>
            <w:rFonts w:ascii="仿宋" w:eastAsia="仿宋" w:hAnsi="仿宋" w:cs="仿宋" w:hint="eastAsia"/>
            <w:noProof/>
            <w:sz w:val="28"/>
          </w:rPr>
          <w:fldChar w:fldCharType="end"/>
        </w:r>
      </w:hyperlink>
    </w:p>
    <w:p w14:paraId="5FC4C6FE" w14:textId="0A105856" w:rsidR="002E5B15" w:rsidRDefault="00EB6512">
      <w:pPr>
        <w:pStyle w:val="21"/>
        <w:tabs>
          <w:tab w:val="right" w:leader="dot" w:pos="8494"/>
        </w:tabs>
        <w:rPr>
          <w:rFonts w:ascii="仿宋" w:eastAsia="仿宋" w:hAnsi="仿宋" w:cs="仿宋"/>
          <w:noProof/>
          <w:sz w:val="28"/>
        </w:rPr>
      </w:pPr>
      <w:hyperlink w:anchor="_Toc124325886" w:history="1">
        <w:r w:rsidR="009C5419">
          <w:rPr>
            <w:rStyle w:val="af"/>
            <w:rFonts w:ascii="仿宋" w:eastAsia="仿宋" w:hAnsi="仿宋" w:cs="仿宋" w:hint="eastAsia"/>
            <w:noProof/>
            <w:sz w:val="28"/>
            <w:szCs w:val="32"/>
          </w:rPr>
          <w:t>二、基金托管协议的依据、目的和原则</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_Toc124325886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4</w:t>
        </w:r>
        <w:r w:rsidR="009C5419">
          <w:rPr>
            <w:rFonts w:ascii="仿宋" w:eastAsia="仿宋" w:hAnsi="仿宋" w:cs="仿宋" w:hint="eastAsia"/>
            <w:noProof/>
            <w:sz w:val="28"/>
          </w:rPr>
          <w:fldChar w:fldCharType="end"/>
        </w:r>
      </w:hyperlink>
    </w:p>
    <w:p w14:paraId="1B12F9AF" w14:textId="30199D55" w:rsidR="002E5B15" w:rsidRDefault="00EB6512">
      <w:pPr>
        <w:pStyle w:val="21"/>
        <w:tabs>
          <w:tab w:val="right" w:leader="dot" w:pos="8494"/>
        </w:tabs>
        <w:rPr>
          <w:rFonts w:ascii="仿宋" w:eastAsia="仿宋" w:hAnsi="仿宋" w:cs="仿宋"/>
          <w:noProof/>
          <w:sz w:val="28"/>
        </w:rPr>
      </w:pPr>
      <w:hyperlink w:anchor="_Toc124325887" w:history="1">
        <w:r w:rsidR="009C5419">
          <w:rPr>
            <w:rStyle w:val="af"/>
            <w:rFonts w:ascii="仿宋" w:eastAsia="仿宋" w:hAnsi="仿宋" w:cs="仿宋" w:hint="eastAsia"/>
            <w:noProof/>
            <w:sz w:val="28"/>
            <w:szCs w:val="32"/>
          </w:rPr>
          <w:t>三、基金托管人对基金管理人的业务监督和核查</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_Toc124325887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5</w:t>
        </w:r>
        <w:r w:rsidR="009C5419">
          <w:rPr>
            <w:rFonts w:ascii="仿宋" w:eastAsia="仿宋" w:hAnsi="仿宋" w:cs="仿宋" w:hint="eastAsia"/>
            <w:noProof/>
            <w:sz w:val="28"/>
          </w:rPr>
          <w:fldChar w:fldCharType="end"/>
        </w:r>
      </w:hyperlink>
    </w:p>
    <w:p w14:paraId="42016845" w14:textId="61B5814C" w:rsidR="002E5B15" w:rsidRDefault="00EB6512">
      <w:pPr>
        <w:pStyle w:val="21"/>
        <w:tabs>
          <w:tab w:val="right" w:leader="dot" w:pos="8494"/>
        </w:tabs>
        <w:rPr>
          <w:rFonts w:ascii="仿宋" w:eastAsia="仿宋" w:hAnsi="仿宋" w:cs="仿宋"/>
          <w:noProof/>
          <w:sz w:val="28"/>
        </w:rPr>
      </w:pPr>
      <w:hyperlink w:anchor="_Toc124325888" w:history="1">
        <w:r w:rsidR="009C5419">
          <w:rPr>
            <w:rStyle w:val="af"/>
            <w:rFonts w:ascii="仿宋" w:eastAsia="仿宋" w:hAnsi="仿宋" w:cs="仿宋" w:hint="eastAsia"/>
            <w:noProof/>
            <w:sz w:val="28"/>
            <w:szCs w:val="32"/>
          </w:rPr>
          <w:t>四、基金管理人对基金托管人的业务核查</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_Toc124325888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12</w:t>
        </w:r>
        <w:r w:rsidR="009C5419">
          <w:rPr>
            <w:rFonts w:ascii="仿宋" w:eastAsia="仿宋" w:hAnsi="仿宋" w:cs="仿宋" w:hint="eastAsia"/>
            <w:noProof/>
            <w:sz w:val="28"/>
          </w:rPr>
          <w:fldChar w:fldCharType="end"/>
        </w:r>
      </w:hyperlink>
    </w:p>
    <w:p w14:paraId="4B09F3A9" w14:textId="0B2E1C07" w:rsidR="002E5B15" w:rsidRDefault="00EB6512">
      <w:pPr>
        <w:pStyle w:val="21"/>
        <w:tabs>
          <w:tab w:val="right" w:leader="dot" w:pos="8494"/>
        </w:tabs>
        <w:rPr>
          <w:rFonts w:ascii="仿宋" w:eastAsia="仿宋" w:hAnsi="仿宋" w:cs="仿宋"/>
          <w:noProof/>
          <w:sz w:val="28"/>
        </w:rPr>
      </w:pPr>
      <w:hyperlink w:anchor="_Toc124325889" w:history="1">
        <w:r w:rsidR="009C5419">
          <w:rPr>
            <w:rStyle w:val="af"/>
            <w:rFonts w:ascii="仿宋" w:eastAsia="仿宋" w:hAnsi="仿宋" w:cs="仿宋" w:hint="eastAsia"/>
            <w:noProof/>
            <w:sz w:val="28"/>
            <w:szCs w:val="32"/>
          </w:rPr>
          <w:t>五、基金财产的保管</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_Toc124325889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12</w:t>
        </w:r>
        <w:r w:rsidR="009C5419">
          <w:rPr>
            <w:rFonts w:ascii="仿宋" w:eastAsia="仿宋" w:hAnsi="仿宋" w:cs="仿宋" w:hint="eastAsia"/>
            <w:noProof/>
            <w:sz w:val="28"/>
          </w:rPr>
          <w:fldChar w:fldCharType="end"/>
        </w:r>
      </w:hyperlink>
    </w:p>
    <w:p w14:paraId="57D57701" w14:textId="02F5DCBD" w:rsidR="002E5B15" w:rsidRDefault="00EB6512">
      <w:pPr>
        <w:pStyle w:val="21"/>
        <w:tabs>
          <w:tab w:val="right" w:leader="dot" w:pos="8494"/>
        </w:tabs>
        <w:rPr>
          <w:rFonts w:ascii="仿宋" w:eastAsia="仿宋" w:hAnsi="仿宋" w:cs="仿宋"/>
          <w:noProof/>
          <w:sz w:val="28"/>
        </w:rPr>
      </w:pPr>
      <w:hyperlink w:anchor="_Toc124325890" w:history="1">
        <w:r w:rsidR="009C5419">
          <w:rPr>
            <w:rStyle w:val="af"/>
            <w:rFonts w:ascii="仿宋" w:eastAsia="仿宋" w:hAnsi="仿宋" w:cs="仿宋" w:hint="eastAsia"/>
            <w:noProof/>
            <w:sz w:val="28"/>
            <w:szCs w:val="32"/>
          </w:rPr>
          <w:t>六、指令的发送、确认及执行</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_Toc124325890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15</w:t>
        </w:r>
        <w:r w:rsidR="009C5419">
          <w:rPr>
            <w:rFonts w:ascii="仿宋" w:eastAsia="仿宋" w:hAnsi="仿宋" w:cs="仿宋" w:hint="eastAsia"/>
            <w:noProof/>
            <w:sz w:val="28"/>
          </w:rPr>
          <w:fldChar w:fldCharType="end"/>
        </w:r>
      </w:hyperlink>
    </w:p>
    <w:p w14:paraId="33434EAF" w14:textId="2D21E7DF" w:rsidR="002E5B15" w:rsidRDefault="00EB6512">
      <w:pPr>
        <w:pStyle w:val="21"/>
        <w:tabs>
          <w:tab w:val="right" w:leader="dot" w:pos="8494"/>
        </w:tabs>
        <w:rPr>
          <w:rFonts w:ascii="仿宋" w:eastAsia="仿宋" w:hAnsi="仿宋" w:cs="仿宋"/>
          <w:noProof/>
          <w:sz w:val="28"/>
        </w:rPr>
      </w:pPr>
      <w:hyperlink w:anchor="_Toc124325891" w:history="1">
        <w:r w:rsidR="009C5419">
          <w:rPr>
            <w:rStyle w:val="af"/>
            <w:rFonts w:ascii="仿宋" w:eastAsia="仿宋" w:hAnsi="仿宋" w:cs="仿宋" w:hint="eastAsia"/>
            <w:noProof/>
            <w:sz w:val="28"/>
            <w:szCs w:val="32"/>
          </w:rPr>
          <w:t>七、交易及清算交收安排</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_Toc124325891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18</w:t>
        </w:r>
        <w:r w:rsidR="009C5419">
          <w:rPr>
            <w:rFonts w:ascii="仿宋" w:eastAsia="仿宋" w:hAnsi="仿宋" w:cs="仿宋" w:hint="eastAsia"/>
            <w:noProof/>
            <w:sz w:val="28"/>
          </w:rPr>
          <w:fldChar w:fldCharType="end"/>
        </w:r>
      </w:hyperlink>
    </w:p>
    <w:p w14:paraId="382E69F0" w14:textId="08C92C1C" w:rsidR="002E5B15" w:rsidRDefault="00EB6512">
      <w:pPr>
        <w:pStyle w:val="21"/>
        <w:tabs>
          <w:tab w:val="right" w:leader="dot" w:pos="8494"/>
        </w:tabs>
        <w:rPr>
          <w:rFonts w:ascii="仿宋" w:eastAsia="仿宋" w:hAnsi="仿宋" w:cs="仿宋"/>
          <w:noProof/>
          <w:sz w:val="28"/>
        </w:rPr>
      </w:pPr>
      <w:hyperlink w:anchor="_Toc124325892" w:history="1">
        <w:r w:rsidR="009C5419">
          <w:rPr>
            <w:rStyle w:val="af"/>
            <w:rFonts w:ascii="仿宋" w:eastAsia="仿宋" w:hAnsi="仿宋" w:cs="仿宋" w:hint="eastAsia"/>
            <w:noProof/>
            <w:sz w:val="28"/>
            <w:szCs w:val="32"/>
          </w:rPr>
          <w:t>八、基金资产净值计算和会计核算</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_Toc124325892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22</w:t>
        </w:r>
        <w:r w:rsidR="009C5419">
          <w:rPr>
            <w:rFonts w:ascii="仿宋" w:eastAsia="仿宋" w:hAnsi="仿宋" w:cs="仿宋" w:hint="eastAsia"/>
            <w:noProof/>
            <w:sz w:val="28"/>
          </w:rPr>
          <w:fldChar w:fldCharType="end"/>
        </w:r>
      </w:hyperlink>
    </w:p>
    <w:p w14:paraId="67A2F846" w14:textId="28ADED57" w:rsidR="002E5B15" w:rsidRDefault="00EB6512">
      <w:pPr>
        <w:pStyle w:val="21"/>
        <w:tabs>
          <w:tab w:val="right" w:leader="dot" w:pos="8494"/>
        </w:tabs>
        <w:rPr>
          <w:rFonts w:ascii="仿宋" w:eastAsia="仿宋" w:hAnsi="仿宋" w:cs="仿宋"/>
          <w:noProof/>
          <w:sz w:val="28"/>
        </w:rPr>
      </w:pPr>
      <w:hyperlink w:anchor="_Toc124325893" w:history="1">
        <w:r w:rsidR="009C5419">
          <w:rPr>
            <w:rStyle w:val="af"/>
            <w:rFonts w:ascii="仿宋" w:eastAsia="仿宋" w:hAnsi="仿宋" w:cs="仿宋" w:hint="eastAsia"/>
            <w:noProof/>
            <w:sz w:val="28"/>
            <w:szCs w:val="32"/>
          </w:rPr>
          <w:t>九、基金收益分配</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_Toc124325893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28</w:t>
        </w:r>
        <w:r w:rsidR="009C5419">
          <w:rPr>
            <w:rFonts w:ascii="仿宋" w:eastAsia="仿宋" w:hAnsi="仿宋" w:cs="仿宋" w:hint="eastAsia"/>
            <w:noProof/>
            <w:sz w:val="28"/>
          </w:rPr>
          <w:fldChar w:fldCharType="end"/>
        </w:r>
      </w:hyperlink>
    </w:p>
    <w:p w14:paraId="721B7855" w14:textId="3376DACE" w:rsidR="002E5B15" w:rsidRDefault="00EB6512">
      <w:pPr>
        <w:pStyle w:val="21"/>
        <w:tabs>
          <w:tab w:val="right" w:leader="dot" w:pos="8494"/>
        </w:tabs>
        <w:rPr>
          <w:rFonts w:ascii="仿宋" w:eastAsia="仿宋" w:hAnsi="仿宋" w:cs="仿宋"/>
          <w:noProof/>
          <w:sz w:val="28"/>
        </w:rPr>
      </w:pPr>
      <w:hyperlink w:anchor="_Toc124325894" w:history="1">
        <w:r w:rsidR="009C5419">
          <w:rPr>
            <w:rStyle w:val="af"/>
            <w:rFonts w:ascii="仿宋" w:eastAsia="仿宋" w:hAnsi="仿宋" w:cs="仿宋" w:hint="eastAsia"/>
            <w:noProof/>
            <w:sz w:val="28"/>
            <w:szCs w:val="32"/>
          </w:rPr>
          <w:t>十、基金信息披露</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_Toc124325894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28</w:t>
        </w:r>
        <w:r w:rsidR="009C5419">
          <w:rPr>
            <w:rFonts w:ascii="仿宋" w:eastAsia="仿宋" w:hAnsi="仿宋" w:cs="仿宋" w:hint="eastAsia"/>
            <w:noProof/>
            <w:sz w:val="28"/>
          </w:rPr>
          <w:fldChar w:fldCharType="end"/>
        </w:r>
      </w:hyperlink>
    </w:p>
    <w:p w14:paraId="22E44C18" w14:textId="71B4CD27" w:rsidR="002E5B15" w:rsidRDefault="00EB6512">
      <w:pPr>
        <w:pStyle w:val="21"/>
        <w:tabs>
          <w:tab w:val="right" w:leader="dot" w:pos="8494"/>
        </w:tabs>
        <w:rPr>
          <w:rFonts w:ascii="仿宋" w:eastAsia="仿宋" w:hAnsi="仿宋" w:cs="仿宋"/>
          <w:noProof/>
          <w:sz w:val="28"/>
        </w:rPr>
      </w:pPr>
      <w:hyperlink w:anchor="_Toc124325895" w:history="1">
        <w:r w:rsidR="009C5419">
          <w:rPr>
            <w:rStyle w:val="af"/>
            <w:rFonts w:ascii="仿宋" w:eastAsia="仿宋" w:hAnsi="仿宋" w:cs="仿宋" w:hint="eastAsia"/>
            <w:noProof/>
            <w:sz w:val="28"/>
            <w:szCs w:val="32"/>
          </w:rPr>
          <w:t>十一、基金费用</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_Toc124325895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30</w:t>
        </w:r>
        <w:r w:rsidR="009C5419">
          <w:rPr>
            <w:rFonts w:ascii="仿宋" w:eastAsia="仿宋" w:hAnsi="仿宋" w:cs="仿宋" w:hint="eastAsia"/>
            <w:noProof/>
            <w:sz w:val="28"/>
          </w:rPr>
          <w:fldChar w:fldCharType="end"/>
        </w:r>
      </w:hyperlink>
    </w:p>
    <w:p w14:paraId="2B47E7E5" w14:textId="402F3379" w:rsidR="002E5B15" w:rsidRDefault="00EB6512">
      <w:pPr>
        <w:pStyle w:val="21"/>
        <w:tabs>
          <w:tab w:val="right" w:leader="dot" w:pos="8494"/>
        </w:tabs>
        <w:rPr>
          <w:rFonts w:ascii="仿宋" w:eastAsia="仿宋" w:hAnsi="仿宋" w:cs="仿宋"/>
          <w:noProof/>
          <w:sz w:val="28"/>
        </w:rPr>
      </w:pPr>
      <w:hyperlink w:anchor="_Toc124325896" w:history="1">
        <w:r w:rsidR="009C5419">
          <w:rPr>
            <w:rStyle w:val="af"/>
            <w:rFonts w:ascii="仿宋" w:eastAsia="仿宋" w:hAnsi="仿宋" w:cs="仿宋" w:hint="eastAsia"/>
            <w:noProof/>
            <w:sz w:val="28"/>
            <w:szCs w:val="32"/>
          </w:rPr>
          <w:t>十二、基金份额持有人名册的保管</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_Toc124325896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33</w:t>
        </w:r>
        <w:r w:rsidR="009C5419">
          <w:rPr>
            <w:rFonts w:ascii="仿宋" w:eastAsia="仿宋" w:hAnsi="仿宋" w:cs="仿宋" w:hint="eastAsia"/>
            <w:noProof/>
            <w:sz w:val="28"/>
          </w:rPr>
          <w:fldChar w:fldCharType="end"/>
        </w:r>
      </w:hyperlink>
    </w:p>
    <w:p w14:paraId="0098185B" w14:textId="6DD68EC8" w:rsidR="002E5B15" w:rsidRDefault="00EB6512">
      <w:pPr>
        <w:pStyle w:val="21"/>
        <w:tabs>
          <w:tab w:val="right" w:leader="dot" w:pos="8494"/>
        </w:tabs>
        <w:rPr>
          <w:rFonts w:ascii="仿宋" w:eastAsia="仿宋" w:hAnsi="仿宋" w:cs="仿宋"/>
          <w:noProof/>
          <w:sz w:val="28"/>
        </w:rPr>
      </w:pPr>
      <w:hyperlink w:anchor="_Toc124325897" w:history="1">
        <w:r w:rsidR="009C5419">
          <w:rPr>
            <w:rStyle w:val="af"/>
            <w:rFonts w:ascii="仿宋" w:eastAsia="仿宋" w:hAnsi="仿宋" w:cs="仿宋" w:hint="eastAsia"/>
            <w:noProof/>
            <w:sz w:val="28"/>
            <w:szCs w:val="32"/>
          </w:rPr>
          <w:t>十三、基金有关文件档案的保存</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_Toc124325897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34</w:t>
        </w:r>
        <w:r w:rsidR="009C5419">
          <w:rPr>
            <w:rFonts w:ascii="仿宋" w:eastAsia="仿宋" w:hAnsi="仿宋" w:cs="仿宋" w:hint="eastAsia"/>
            <w:noProof/>
            <w:sz w:val="28"/>
          </w:rPr>
          <w:fldChar w:fldCharType="end"/>
        </w:r>
      </w:hyperlink>
    </w:p>
    <w:p w14:paraId="65EB1E91" w14:textId="5B308916" w:rsidR="002E5B15" w:rsidRDefault="00EB6512">
      <w:pPr>
        <w:pStyle w:val="21"/>
        <w:tabs>
          <w:tab w:val="right" w:leader="dot" w:pos="8494"/>
        </w:tabs>
        <w:rPr>
          <w:rFonts w:ascii="仿宋" w:eastAsia="仿宋" w:hAnsi="仿宋" w:cs="仿宋"/>
          <w:noProof/>
          <w:sz w:val="28"/>
        </w:rPr>
      </w:pPr>
      <w:hyperlink w:anchor="_Toc124325898" w:history="1">
        <w:r w:rsidR="009C5419">
          <w:rPr>
            <w:rStyle w:val="af"/>
            <w:rFonts w:ascii="仿宋" w:eastAsia="仿宋" w:hAnsi="仿宋" w:cs="仿宋" w:hint="eastAsia"/>
            <w:noProof/>
            <w:sz w:val="28"/>
            <w:szCs w:val="32"/>
          </w:rPr>
          <w:t>十四、基金管理人和基金托管人的更换</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_Toc124325898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34</w:t>
        </w:r>
        <w:r w:rsidR="009C5419">
          <w:rPr>
            <w:rFonts w:ascii="仿宋" w:eastAsia="仿宋" w:hAnsi="仿宋" w:cs="仿宋" w:hint="eastAsia"/>
            <w:noProof/>
            <w:sz w:val="28"/>
          </w:rPr>
          <w:fldChar w:fldCharType="end"/>
        </w:r>
      </w:hyperlink>
    </w:p>
    <w:p w14:paraId="080093C5" w14:textId="700809B3" w:rsidR="002E5B15" w:rsidRDefault="00EB6512">
      <w:pPr>
        <w:pStyle w:val="21"/>
        <w:tabs>
          <w:tab w:val="right" w:leader="dot" w:pos="8494"/>
        </w:tabs>
        <w:rPr>
          <w:rFonts w:ascii="仿宋" w:eastAsia="仿宋" w:hAnsi="仿宋" w:cs="仿宋"/>
          <w:noProof/>
          <w:sz w:val="28"/>
        </w:rPr>
      </w:pPr>
      <w:hyperlink w:anchor="_Toc124325899" w:history="1">
        <w:r w:rsidR="009C5419">
          <w:rPr>
            <w:rStyle w:val="af"/>
            <w:rFonts w:ascii="仿宋" w:eastAsia="仿宋" w:hAnsi="仿宋" w:cs="仿宋" w:hint="eastAsia"/>
            <w:noProof/>
            <w:sz w:val="28"/>
            <w:szCs w:val="32"/>
          </w:rPr>
          <w:t>十五、禁止行为</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_Toc124325899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36</w:t>
        </w:r>
        <w:r w:rsidR="009C5419">
          <w:rPr>
            <w:rFonts w:ascii="仿宋" w:eastAsia="仿宋" w:hAnsi="仿宋" w:cs="仿宋" w:hint="eastAsia"/>
            <w:noProof/>
            <w:sz w:val="28"/>
          </w:rPr>
          <w:fldChar w:fldCharType="end"/>
        </w:r>
      </w:hyperlink>
    </w:p>
    <w:p w14:paraId="1931AB82" w14:textId="7F6909C4" w:rsidR="002E5B15" w:rsidRDefault="00EB6512">
      <w:pPr>
        <w:pStyle w:val="21"/>
        <w:tabs>
          <w:tab w:val="right" w:leader="dot" w:pos="8494"/>
        </w:tabs>
        <w:rPr>
          <w:rFonts w:ascii="仿宋" w:eastAsia="仿宋" w:hAnsi="仿宋" w:cs="仿宋"/>
          <w:noProof/>
          <w:sz w:val="28"/>
        </w:rPr>
      </w:pPr>
      <w:hyperlink w:anchor="_Toc124325900" w:history="1">
        <w:r w:rsidR="009C5419">
          <w:rPr>
            <w:rStyle w:val="af"/>
            <w:rFonts w:ascii="仿宋" w:eastAsia="仿宋" w:hAnsi="仿宋" w:cs="仿宋" w:hint="eastAsia"/>
            <w:noProof/>
            <w:sz w:val="28"/>
            <w:szCs w:val="32"/>
          </w:rPr>
          <w:t>十六、托管协议的变更、终止与基金财产的清算</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_Toc124325900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37</w:t>
        </w:r>
        <w:r w:rsidR="009C5419">
          <w:rPr>
            <w:rFonts w:ascii="仿宋" w:eastAsia="仿宋" w:hAnsi="仿宋" w:cs="仿宋" w:hint="eastAsia"/>
            <w:noProof/>
            <w:sz w:val="28"/>
          </w:rPr>
          <w:fldChar w:fldCharType="end"/>
        </w:r>
      </w:hyperlink>
    </w:p>
    <w:p w14:paraId="218D63E2" w14:textId="7BA89A36" w:rsidR="002E5B15" w:rsidRDefault="00EB6512">
      <w:pPr>
        <w:pStyle w:val="21"/>
        <w:tabs>
          <w:tab w:val="right" w:leader="dot" w:pos="8494"/>
        </w:tabs>
        <w:rPr>
          <w:rFonts w:ascii="仿宋" w:eastAsia="仿宋" w:hAnsi="仿宋" w:cs="仿宋"/>
          <w:noProof/>
          <w:sz w:val="28"/>
        </w:rPr>
      </w:pPr>
      <w:hyperlink w:anchor="_Toc124325901" w:history="1">
        <w:r w:rsidR="009C5419">
          <w:rPr>
            <w:rStyle w:val="af"/>
            <w:rFonts w:ascii="仿宋" w:eastAsia="仿宋" w:hAnsi="仿宋" w:cs="仿宋" w:hint="eastAsia"/>
            <w:noProof/>
            <w:sz w:val="28"/>
            <w:szCs w:val="32"/>
          </w:rPr>
          <w:t>十七、违约责任</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_Toc124325901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39</w:t>
        </w:r>
        <w:r w:rsidR="009C5419">
          <w:rPr>
            <w:rFonts w:ascii="仿宋" w:eastAsia="仿宋" w:hAnsi="仿宋" w:cs="仿宋" w:hint="eastAsia"/>
            <w:noProof/>
            <w:sz w:val="28"/>
          </w:rPr>
          <w:fldChar w:fldCharType="end"/>
        </w:r>
      </w:hyperlink>
    </w:p>
    <w:p w14:paraId="483D9DC8" w14:textId="0E310D1F" w:rsidR="002E5B15" w:rsidRDefault="00EB6512">
      <w:pPr>
        <w:pStyle w:val="21"/>
        <w:tabs>
          <w:tab w:val="right" w:leader="dot" w:pos="8494"/>
        </w:tabs>
        <w:rPr>
          <w:rFonts w:ascii="仿宋" w:eastAsia="仿宋" w:hAnsi="仿宋" w:cs="仿宋"/>
          <w:noProof/>
          <w:sz w:val="28"/>
        </w:rPr>
      </w:pPr>
      <w:hyperlink w:anchor="_Toc124325902" w:history="1">
        <w:r w:rsidR="009C5419">
          <w:rPr>
            <w:rStyle w:val="af"/>
            <w:rFonts w:ascii="仿宋" w:eastAsia="仿宋" w:hAnsi="仿宋" w:cs="仿宋" w:hint="eastAsia"/>
            <w:noProof/>
            <w:sz w:val="28"/>
            <w:szCs w:val="32"/>
          </w:rPr>
          <w:t>十八、争议解决方式</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_Toc124325902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40</w:t>
        </w:r>
        <w:r w:rsidR="009C5419">
          <w:rPr>
            <w:rFonts w:ascii="仿宋" w:eastAsia="仿宋" w:hAnsi="仿宋" w:cs="仿宋" w:hint="eastAsia"/>
            <w:noProof/>
            <w:sz w:val="28"/>
          </w:rPr>
          <w:fldChar w:fldCharType="end"/>
        </w:r>
      </w:hyperlink>
    </w:p>
    <w:p w14:paraId="7EDAE2D6" w14:textId="0AD10959" w:rsidR="002E5B15" w:rsidRDefault="00EB6512">
      <w:pPr>
        <w:pStyle w:val="21"/>
        <w:tabs>
          <w:tab w:val="right" w:leader="dot" w:pos="8494"/>
        </w:tabs>
        <w:rPr>
          <w:rFonts w:ascii="仿宋" w:eastAsia="仿宋" w:hAnsi="仿宋" w:cs="仿宋"/>
          <w:noProof/>
          <w:sz w:val="28"/>
        </w:rPr>
      </w:pPr>
      <w:hyperlink w:anchor="_Toc124325903" w:history="1">
        <w:r w:rsidR="009C5419">
          <w:rPr>
            <w:rStyle w:val="af"/>
            <w:rFonts w:ascii="仿宋" w:eastAsia="仿宋" w:hAnsi="仿宋" w:cs="仿宋" w:hint="eastAsia"/>
            <w:noProof/>
            <w:sz w:val="28"/>
            <w:szCs w:val="32"/>
          </w:rPr>
          <w:t>十九、托管协议的效力</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_Toc124325903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40</w:t>
        </w:r>
        <w:r w:rsidR="009C5419">
          <w:rPr>
            <w:rFonts w:ascii="仿宋" w:eastAsia="仿宋" w:hAnsi="仿宋" w:cs="仿宋" w:hint="eastAsia"/>
            <w:noProof/>
            <w:sz w:val="28"/>
          </w:rPr>
          <w:fldChar w:fldCharType="end"/>
        </w:r>
      </w:hyperlink>
    </w:p>
    <w:p w14:paraId="2E3D1C23" w14:textId="10605FD2" w:rsidR="002E5B15" w:rsidRDefault="00EB6512">
      <w:pPr>
        <w:pStyle w:val="21"/>
        <w:tabs>
          <w:tab w:val="right" w:leader="dot" w:pos="8494"/>
        </w:tabs>
        <w:rPr>
          <w:rFonts w:ascii="仿宋" w:eastAsia="仿宋" w:hAnsi="仿宋" w:cs="仿宋"/>
          <w:noProof/>
          <w:sz w:val="28"/>
        </w:rPr>
      </w:pPr>
      <w:hyperlink w:anchor="_Toc124325904" w:history="1">
        <w:r w:rsidR="009C5419">
          <w:rPr>
            <w:rStyle w:val="af"/>
            <w:rFonts w:ascii="仿宋" w:eastAsia="仿宋" w:hAnsi="仿宋" w:cs="仿宋" w:hint="eastAsia"/>
            <w:noProof/>
            <w:sz w:val="28"/>
            <w:szCs w:val="32"/>
          </w:rPr>
          <w:t>二十、其他事项</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_Toc124325904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41</w:t>
        </w:r>
        <w:r w:rsidR="009C5419">
          <w:rPr>
            <w:rFonts w:ascii="仿宋" w:eastAsia="仿宋" w:hAnsi="仿宋" w:cs="仿宋" w:hint="eastAsia"/>
            <w:noProof/>
            <w:sz w:val="28"/>
          </w:rPr>
          <w:fldChar w:fldCharType="end"/>
        </w:r>
      </w:hyperlink>
    </w:p>
    <w:p w14:paraId="796D2FDF" w14:textId="5C48AF83" w:rsidR="002E5B15" w:rsidRDefault="00EB6512">
      <w:pPr>
        <w:pStyle w:val="21"/>
        <w:tabs>
          <w:tab w:val="right" w:leader="dot" w:pos="8494"/>
        </w:tabs>
        <w:rPr>
          <w:rFonts w:ascii="仿宋" w:eastAsia="仿宋" w:hAnsi="仿宋" w:cs="仿宋"/>
          <w:noProof/>
          <w:sz w:val="28"/>
        </w:rPr>
      </w:pPr>
      <w:hyperlink w:anchor="_Toc124325905" w:history="1">
        <w:r w:rsidR="009C5419">
          <w:rPr>
            <w:rStyle w:val="af"/>
            <w:rFonts w:ascii="仿宋" w:eastAsia="仿宋" w:hAnsi="仿宋" w:cs="仿宋" w:hint="eastAsia"/>
            <w:noProof/>
            <w:sz w:val="28"/>
            <w:szCs w:val="32"/>
          </w:rPr>
          <w:t>二十一、托管协议的签订</w:t>
        </w:r>
        <w:r w:rsidR="009C5419">
          <w:rPr>
            <w:rFonts w:ascii="仿宋" w:eastAsia="仿宋" w:hAnsi="仿宋" w:cs="仿宋" w:hint="eastAsia"/>
            <w:noProof/>
            <w:sz w:val="28"/>
          </w:rPr>
          <w:tab/>
        </w:r>
        <w:r w:rsidR="009C5419">
          <w:rPr>
            <w:rFonts w:ascii="仿宋" w:eastAsia="仿宋" w:hAnsi="仿宋" w:cs="仿宋" w:hint="eastAsia"/>
            <w:noProof/>
            <w:sz w:val="28"/>
          </w:rPr>
          <w:fldChar w:fldCharType="begin"/>
        </w:r>
        <w:r w:rsidR="009C5419">
          <w:rPr>
            <w:rFonts w:ascii="仿宋" w:eastAsia="仿宋" w:hAnsi="仿宋" w:cs="仿宋" w:hint="eastAsia"/>
            <w:noProof/>
            <w:sz w:val="28"/>
          </w:rPr>
          <w:instrText xml:space="preserve"> PAGEREF _Toc124325905 \h </w:instrText>
        </w:r>
        <w:r w:rsidR="009C5419">
          <w:rPr>
            <w:rFonts w:ascii="仿宋" w:eastAsia="仿宋" w:hAnsi="仿宋" w:cs="仿宋" w:hint="eastAsia"/>
            <w:noProof/>
            <w:sz w:val="28"/>
          </w:rPr>
        </w:r>
        <w:r w:rsidR="009C5419">
          <w:rPr>
            <w:rFonts w:ascii="仿宋" w:eastAsia="仿宋" w:hAnsi="仿宋" w:cs="仿宋" w:hint="eastAsia"/>
            <w:noProof/>
            <w:sz w:val="28"/>
          </w:rPr>
          <w:fldChar w:fldCharType="separate"/>
        </w:r>
        <w:r>
          <w:rPr>
            <w:rFonts w:ascii="仿宋" w:eastAsia="仿宋" w:hAnsi="仿宋" w:cs="仿宋"/>
            <w:noProof/>
            <w:sz w:val="28"/>
          </w:rPr>
          <w:t>41</w:t>
        </w:r>
        <w:r w:rsidR="009C5419">
          <w:rPr>
            <w:rFonts w:ascii="仿宋" w:eastAsia="仿宋" w:hAnsi="仿宋" w:cs="仿宋" w:hint="eastAsia"/>
            <w:noProof/>
            <w:sz w:val="28"/>
          </w:rPr>
          <w:fldChar w:fldCharType="end"/>
        </w:r>
      </w:hyperlink>
    </w:p>
    <w:p w14:paraId="6CD270F3" w14:textId="77777777" w:rsidR="002E5B15" w:rsidRDefault="009C5419">
      <w:pPr>
        <w:rPr>
          <w:rFonts w:ascii="仿宋" w:eastAsia="仿宋" w:hAnsi="仿宋" w:cs="仿宋"/>
          <w:sz w:val="24"/>
        </w:rPr>
      </w:pPr>
      <w:r>
        <w:rPr>
          <w:rFonts w:ascii="仿宋" w:eastAsia="仿宋" w:hAnsi="仿宋" w:cs="仿宋" w:hint="eastAsia"/>
          <w:sz w:val="28"/>
        </w:rPr>
        <w:lastRenderedPageBreak/>
        <w:fldChar w:fldCharType="end"/>
      </w:r>
    </w:p>
    <w:p w14:paraId="18F5F88D" w14:textId="77777777" w:rsidR="002E5B15" w:rsidRDefault="009C5419">
      <w:pPr>
        <w:widowControl/>
        <w:adjustRightInd w:val="0"/>
        <w:snapToGrid w:val="0"/>
        <w:ind w:firstLineChars="200" w:firstLine="480"/>
        <w:rPr>
          <w:rFonts w:ascii="仿宋" w:eastAsia="仿宋" w:hAnsi="仿宋" w:cs="仿宋"/>
          <w:kern w:val="0"/>
          <w:sz w:val="24"/>
        </w:rPr>
      </w:pPr>
      <w:r>
        <w:rPr>
          <w:rFonts w:ascii="仿宋" w:eastAsia="仿宋" w:hAnsi="仿宋" w:cs="仿宋" w:hint="eastAsia"/>
          <w:kern w:val="0"/>
          <w:sz w:val="24"/>
        </w:rPr>
        <w:t>鉴于景顺长城基金管理有限公司系一家依照中国法律合法成立并有效存续的有限责任公司，按照相关法律法规的规定具备担任基金管理人的资格和能力，拟募集发行景顺长城价值领航两年持有期混合型证券投资基金；</w:t>
      </w:r>
    </w:p>
    <w:p w14:paraId="2F4CE728" w14:textId="77777777" w:rsidR="002E5B15" w:rsidRDefault="009C5419">
      <w:pPr>
        <w:widowControl/>
        <w:adjustRightInd w:val="0"/>
        <w:snapToGrid w:val="0"/>
        <w:ind w:firstLineChars="200" w:firstLine="480"/>
        <w:rPr>
          <w:rFonts w:ascii="仿宋" w:eastAsia="仿宋" w:hAnsi="仿宋" w:cs="仿宋"/>
          <w:kern w:val="0"/>
          <w:sz w:val="24"/>
        </w:rPr>
      </w:pPr>
      <w:r>
        <w:rPr>
          <w:rFonts w:ascii="仿宋" w:eastAsia="仿宋" w:hAnsi="仿宋" w:cs="仿宋" w:hint="eastAsia"/>
          <w:kern w:val="0"/>
          <w:sz w:val="24"/>
        </w:rPr>
        <w:t>鉴于中国建设银行股份有限公司系一家依照中国法律合法成立并有效存续的银行，按照相关法律法规的规定具备担任基金托管人的资格和能力；</w:t>
      </w:r>
    </w:p>
    <w:p w14:paraId="344CAA45" w14:textId="77777777" w:rsidR="002E5B15" w:rsidRDefault="009C5419">
      <w:pPr>
        <w:widowControl/>
        <w:adjustRightInd w:val="0"/>
        <w:snapToGrid w:val="0"/>
        <w:ind w:firstLineChars="200" w:firstLine="480"/>
        <w:rPr>
          <w:rFonts w:ascii="仿宋" w:eastAsia="仿宋" w:hAnsi="仿宋" w:cs="仿宋"/>
          <w:kern w:val="0"/>
          <w:sz w:val="24"/>
        </w:rPr>
      </w:pPr>
      <w:r>
        <w:rPr>
          <w:rFonts w:ascii="仿宋" w:eastAsia="仿宋" w:hAnsi="仿宋" w:cs="仿宋" w:hint="eastAsia"/>
          <w:kern w:val="0"/>
          <w:sz w:val="24"/>
        </w:rPr>
        <w:t>鉴于景顺长城基金管理有限公司拟担任景顺长城价值领航两年持有期混合型证券投资基金的基金管理人，中国建设银行股份有限公司拟担任景顺长城价值领航两年持有期混合型证券投资基金的基金托管人；</w:t>
      </w:r>
    </w:p>
    <w:p w14:paraId="7C2CF081" w14:textId="77777777" w:rsidR="002E5B15" w:rsidRDefault="009C5419">
      <w:pPr>
        <w:widowControl/>
        <w:adjustRightInd w:val="0"/>
        <w:snapToGrid w:val="0"/>
        <w:ind w:firstLineChars="200" w:firstLine="480"/>
        <w:rPr>
          <w:rFonts w:ascii="仿宋" w:eastAsia="仿宋" w:hAnsi="仿宋" w:cs="仿宋"/>
          <w:kern w:val="0"/>
          <w:sz w:val="24"/>
        </w:rPr>
      </w:pPr>
      <w:r>
        <w:rPr>
          <w:rFonts w:ascii="仿宋" w:eastAsia="仿宋" w:hAnsi="仿宋" w:cs="仿宋" w:hint="eastAsia"/>
          <w:kern w:val="0"/>
          <w:sz w:val="24"/>
        </w:rPr>
        <w:t>为明确证券投资基金的基金管理人和基金托管人之间的权利义务关系，特制订本托管协议；</w:t>
      </w:r>
    </w:p>
    <w:p w14:paraId="63138417" w14:textId="77777777" w:rsidR="002E5B15" w:rsidRDefault="009C5419">
      <w:pPr>
        <w:widowControl/>
        <w:adjustRightInd w:val="0"/>
        <w:snapToGrid w:val="0"/>
        <w:ind w:firstLineChars="200" w:firstLine="480"/>
        <w:rPr>
          <w:rFonts w:ascii="仿宋" w:eastAsia="仿宋" w:hAnsi="仿宋" w:cs="仿宋"/>
          <w:kern w:val="0"/>
          <w:sz w:val="24"/>
          <w:lang w:val="en-GB"/>
        </w:rPr>
      </w:pPr>
      <w:r>
        <w:rPr>
          <w:rFonts w:ascii="仿宋" w:eastAsia="仿宋" w:hAnsi="仿宋" w:cs="仿宋" w:hint="eastAsia"/>
          <w:kern w:val="0"/>
          <w:sz w:val="24"/>
          <w:lang w:val="en-GB"/>
        </w:rPr>
        <w:t>除非另有约定，《景顺长城价值领航两年持有期混合型证券投资基金基金合同》(以下简称“基金合同”)中定义的术语在用于本托管协议时应具有相同的含义；若有抵触应以《基金合同》为准，并依其</w:t>
      </w:r>
      <w:r>
        <w:rPr>
          <w:rFonts w:ascii="仿宋" w:eastAsia="仿宋" w:hAnsi="仿宋" w:cs="仿宋" w:hint="eastAsia"/>
          <w:kern w:val="0"/>
          <w:sz w:val="24"/>
        </w:rPr>
        <w:t>条款</w:t>
      </w:r>
      <w:r>
        <w:rPr>
          <w:rFonts w:ascii="仿宋" w:eastAsia="仿宋" w:hAnsi="仿宋" w:cs="仿宋" w:hint="eastAsia"/>
          <w:kern w:val="0"/>
          <w:sz w:val="24"/>
          <w:lang w:val="en-GB"/>
        </w:rPr>
        <w:t>解释。</w:t>
      </w:r>
    </w:p>
    <w:p w14:paraId="7EBF50AD" w14:textId="77777777" w:rsidR="002E5B15" w:rsidRDefault="002E5B15">
      <w:pPr>
        <w:rPr>
          <w:rFonts w:ascii="仿宋" w:eastAsia="仿宋" w:hAnsi="仿宋" w:cs="仿宋"/>
          <w:sz w:val="24"/>
          <w:lang w:val="en-GB"/>
        </w:rPr>
      </w:pPr>
    </w:p>
    <w:p w14:paraId="0C86F363" w14:textId="77777777" w:rsidR="002E5B15" w:rsidRDefault="009C5419">
      <w:pPr>
        <w:pStyle w:val="2"/>
        <w:jc w:val="center"/>
        <w:rPr>
          <w:rFonts w:ascii="仿宋" w:eastAsia="仿宋" w:hAnsi="仿宋" w:cs="仿宋"/>
        </w:rPr>
      </w:pPr>
      <w:bookmarkStart w:id="0" w:name="_Toc124325885"/>
      <w:r>
        <w:rPr>
          <w:rFonts w:ascii="仿宋" w:eastAsia="仿宋" w:hAnsi="仿宋" w:cs="仿宋" w:hint="eastAsia"/>
        </w:rPr>
        <w:t>一、基金托管协议当事人</w:t>
      </w:r>
      <w:bookmarkEnd w:id="0"/>
    </w:p>
    <w:p w14:paraId="3033DE3B"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（一）基金管理人</w:t>
      </w:r>
    </w:p>
    <w:p w14:paraId="50E138ED" w14:textId="77777777" w:rsidR="002E5B15" w:rsidRDefault="009C5419">
      <w:pPr>
        <w:adjustRightInd w:val="0"/>
        <w:snapToGrid w:val="0"/>
        <w:ind w:firstLineChars="200" w:firstLine="480"/>
        <w:rPr>
          <w:rFonts w:ascii="仿宋" w:eastAsia="仿宋" w:hAnsi="仿宋" w:cs="仿宋"/>
          <w:sz w:val="24"/>
        </w:rPr>
      </w:pPr>
      <w:bookmarkStart w:id="1" w:name="_Toc15118236"/>
      <w:r>
        <w:rPr>
          <w:rFonts w:ascii="仿宋" w:eastAsia="仿宋" w:hAnsi="仿宋" w:cs="仿宋" w:hint="eastAsia"/>
          <w:sz w:val="24"/>
        </w:rPr>
        <w:t>名称：景顺长城基金管理有限公司</w:t>
      </w:r>
    </w:p>
    <w:p w14:paraId="6B51BE7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住所：深圳市福田区中心四路1号嘉里建设广场第1座21层</w:t>
      </w:r>
    </w:p>
    <w:p w14:paraId="3A053B1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法定代表人：丁益</w:t>
      </w:r>
    </w:p>
    <w:p w14:paraId="75B9BDD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成立时间：2003年6月12日</w:t>
      </w:r>
    </w:p>
    <w:p w14:paraId="71B5006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批准设立机关及批准设立文号：中国证券监督管理委员会，证</w:t>
      </w:r>
      <w:proofErr w:type="gramStart"/>
      <w:r>
        <w:rPr>
          <w:rFonts w:ascii="仿宋" w:eastAsia="仿宋" w:hAnsi="仿宋" w:cs="仿宋" w:hint="eastAsia"/>
          <w:sz w:val="24"/>
        </w:rPr>
        <w:t>监基金字</w:t>
      </w:r>
      <w:proofErr w:type="gramEnd"/>
      <w:r>
        <w:rPr>
          <w:rFonts w:ascii="仿宋" w:eastAsia="仿宋" w:hAnsi="仿宋" w:cs="仿宋" w:hint="eastAsia"/>
          <w:sz w:val="24"/>
        </w:rPr>
        <w:t>［2003］76号</w:t>
      </w:r>
    </w:p>
    <w:p w14:paraId="47DD4FD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注册资本： 1.3亿元人民币</w:t>
      </w:r>
    </w:p>
    <w:p w14:paraId="104D2F5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组织形式: 有限责任公司</w:t>
      </w:r>
    </w:p>
    <w:p w14:paraId="7C1E11F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经营范围： 基金募集、基金销售、资产管理和中国证监会批准的其他业务</w:t>
      </w:r>
    </w:p>
    <w:p w14:paraId="28A335A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存续期间：</w:t>
      </w:r>
      <w:bookmarkEnd w:id="1"/>
      <w:r>
        <w:rPr>
          <w:rFonts w:ascii="仿宋" w:eastAsia="仿宋" w:hAnsi="仿宋" w:cs="仿宋" w:hint="eastAsia"/>
          <w:sz w:val="24"/>
        </w:rPr>
        <w:t>持续经营</w:t>
      </w:r>
    </w:p>
    <w:p w14:paraId="184D045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电话：</w:t>
      </w:r>
      <w:r>
        <w:rPr>
          <w:rFonts w:ascii="仿宋" w:eastAsia="仿宋" w:hAnsi="仿宋" w:cs="仿宋" w:hint="eastAsia"/>
          <w:sz w:val="24"/>
        </w:rPr>
        <w:tab/>
        <w:t>0755-82370388</w:t>
      </w:r>
    </w:p>
    <w:p w14:paraId="5DABF61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传真： 0755-22381339</w:t>
      </w:r>
    </w:p>
    <w:p w14:paraId="290D8A1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联系人： 杨皞阳</w:t>
      </w:r>
    </w:p>
    <w:p w14:paraId="07770F6A"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lastRenderedPageBreak/>
        <w:t>（二）基金托管人</w:t>
      </w:r>
    </w:p>
    <w:p w14:paraId="7D97096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名称：中国建设银行股份有限公司(简称：中国建设银行)</w:t>
      </w:r>
    </w:p>
    <w:p w14:paraId="2651BC72"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住所：北京市西城区金融大街25号</w:t>
      </w:r>
    </w:p>
    <w:p w14:paraId="28B7221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办公地址：北京市西城区闹市口大街1号院1号楼</w:t>
      </w:r>
    </w:p>
    <w:p w14:paraId="14A329B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邮政编码：100033</w:t>
      </w:r>
    </w:p>
    <w:p w14:paraId="528514A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法定代表人：田国立</w:t>
      </w:r>
    </w:p>
    <w:p w14:paraId="5675E7B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成立日期：2004年09月17日</w:t>
      </w:r>
    </w:p>
    <w:p w14:paraId="044829C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基金托管业务批准文号：中国证监会</w:t>
      </w:r>
      <w:proofErr w:type="gramStart"/>
      <w:r>
        <w:rPr>
          <w:rFonts w:ascii="仿宋" w:eastAsia="仿宋" w:hAnsi="仿宋" w:cs="仿宋" w:hint="eastAsia"/>
          <w:sz w:val="24"/>
        </w:rPr>
        <w:t>证监基字</w:t>
      </w:r>
      <w:proofErr w:type="gramEnd"/>
      <w:r>
        <w:rPr>
          <w:rFonts w:ascii="仿宋" w:eastAsia="仿宋" w:hAnsi="仿宋" w:cs="仿宋" w:hint="eastAsia"/>
          <w:sz w:val="24"/>
        </w:rPr>
        <w:t>[1998</w:t>
      </w:r>
      <w:bookmarkStart w:id="2" w:name="OLE_LINK3"/>
      <w:r>
        <w:rPr>
          <w:rFonts w:ascii="仿宋" w:eastAsia="仿宋" w:hAnsi="仿宋" w:cs="仿宋" w:hint="eastAsia"/>
          <w:sz w:val="24"/>
        </w:rPr>
        <w:t>]</w:t>
      </w:r>
      <w:bookmarkEnd w:id="2"/>
      <w:r>
        <w:rPr>
          <w:rFonts w:ascii="仿宋" w:eastAsia="仿宋" w:hAnsi="仿宋" w:cs="仿宋" w:hint="eastAsia"/>
          <w:sz w:val="24"/>
        </w:rPr>
        <w:t>12号</w:t>
      </w:r>
    </w:p>
    <w:p w14:paraId="5F77BB9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组织形式：股份有限公司</w:t>
      </w:r>
    </w:p>
    <w:p w14:paraId="0F656DB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注册资本：</w:t>
      </w:r>
      <w:proofErr w:type="gramStart"/>
      <w:r>
        <w:rPr>
          <w:rFonts w:ascii="仿宋" w:eastAsia="仿宋" w:hAnsi="仿宋" w:cs="仿宋" w:hint="eastAsia"/>
          <w:sz w:val="24"/>
        </w:rPr>
        <w:t>贰仟伍佰亿壹仟零玖拾柒万柒仟肆佰捌拾陆</w:t>
      </w:r>
      <w:proofErr w:type="gramEnd"/>
      <w:r>
        <w:rPr>
          <w:rFonts w:ascii="仿宋" w:eastAsia="仿宋" w:hAnsi="仿宋" w:cs="仿宋" w:hint="eastAsia"/>
          <w:sz w:val="24"/>
        </w:rPr>
        <w:t>元整</w:t>
      </w:r>
    </w:p>
    <w:p w14:paraId="412E229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存续期间：持续经营</w:t>
      </w:r>
    </w:p>
    <w:p w14:paraId="21F1443C" w14:textId="77777777" w:rsidR="002E5B15" w:rsidRDefault="009C5419">
      <w:pPr>
        <w:tabs>
          <w:tab w:val="left" w:pos="540"/>
        </w:tabs>
        <w:adjustRightInd w:val="0"/>
        <w:snapToGrid w:val="0"/>
        <w:ind w:firstLineChars="200" w:firstLine="480"/>
        <w:rPr>
          <w:rFonts w:ascii="仿宋" w:eastAsia="仿宋" w:hAnsi="仿宋" w:cs="仿宋"/>
          <w:sz w:val="24"/>
        </w:rPr>
      </w:pPr>
      <w:r>
        <w:rPr>
          <w:rFonts w:ascii="仿宋" w:eastAsia="仿宋" w:hAnsi="仿宋" w:cs="仿宋"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3FD37BAD" w14:textId="77777777" w:rsidR="002E5B15" w:rsidRDefault="002E5B15">
      <w:pPr>
        <w:rPr>
          <w:rFonts w:ascii="仿宋" w:eastAsia="仿宋" w:hAnsi="仿宋" w:cs="仿宋"/>
          <w:sz w:val="24"/>
        </w:rPr>
      </w:pPr>
    </w:p>
    <w:p w14:paraId="2F3C796F" w14:textId="77777777" w:rsidR="002E5B15" w:rsidRDefault="009C5419">
      <w:pPr>
        <w:pStyle w:val="2"/>
        <w:jc w:val="center"/>
        <w:rPr>
          <w:rFonts w:ascii="仿宋" w:eastAsia="仿宋" w:hAnsi="仿宋" w:cs="仿宋"/>
          <w:sz w:val="30"/>
        </w:rPr>
      </w:pPr>
      <w:bookmarkStart w:id="3" w:name="_Toc124325886"/>
      <w:r>
        <w:rPr>
          <w:rFonts w:ascii="仿宋" w:eastAsia="仿宋" w:hAnsi="仿宋" w:cs="仿宋" w:hint="eastAsia"/>
          <w:sz w:val="30"/>
        </w:rPr>
        <w:t>二、基金托管协议的依据、目的和原则</w:t>
      </w:r>
      <w:bookmarkEnd w:id="3"/>
    </w:p>
    <w:p w14:paraId="3E0B6C25" w14:textId="77777777" w:rsidR="002E5B15" w:rsidRDefault="009C5419">
      <w:pPr>
        <w:adjustRightInd w:val="0"/>
        <w:snapToGrid w:val="0"/>
        <w:ind w:firstLineChars="200" w:firstLine="480"/>
        <w:rPr>
          <w:rFonts w:ascii="仿宋" w:eastAsia="仿宋" w:hAnsi="仿宋" w:cs="仿宋"/>
          <w:sz w:val="24"/>
          <w:szCs w:val="30"/>
        </w:rPr>
      </w:pPr>
      <w:r>
        <w:rPr>
          <w:rFonts w:ascii="仿宋" w:eastAsia="仿宋" w:hAnsi="仿宋" w:cs="仿宋" w:hint="eastAsia"/>
          <w:sz w:val="24"/>
        </w:rPr>
        <w:t>（一）订立托管协议的依据</w:t>
      </w:r>
    </w:p>
    <w:p w14:paraId="5740929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本协议依据《中华人民共和国证券投资基金法》(以下简称《基金法》)</w:t>
      </w:r>
      <w:r>
        <w:rPr>
          <w:rFonts w:ascii="仿宋" w:eastAsia="仿宋" w:hAnsi="仿宋" w:cs="仿宋" w:hint="eastAsia"/>
        </w:rPr>
        <w:t>、</w:t>
      </w:r>
      <w:r>
        <w:rPr>
          <w:rFonts w:ascii="仿宋" w:eastAsia="仿宋" w:hAnsi="仿宋" w:cs="仿宋"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等有关法律法规、《基金合同》及其他有关规定制订。</w:t>
      </w:r>
    </w:p>
    <w:p w14:paraId="6344B22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（二）订立托管协议的目的</w:t>
      </w:r>
    </w:p>
    <w:p w14:paraId="5D7443D5" w14:textId="77777777" w:rsidR="002E5B15" w:rsidRDefault="009C5419">
      <w:pPr>
        <w:adjustRightInd w:val="0"/>
        <w:snapToGrid w:val="0"/>
        <w:ind w:firstLineChars="200" w:firstLine="480"/>
        <w:rPr>
          <w:rFonts w:ascii="仿宋" w:eastAsia="仿宋" w:hAnsi="仿宋" w:cs="仿宋"/>
          <w:sz w:val="24"/>
          <w:szCs w:val="30"/>
        </w:rPr>
      </w:pPr>
      <w:r>
        <w:rPr>
          <w:rFonts w:ascii="仿宋" w:eastAsia="仿宋" w:hAnsi="仿宋" w:cs="仿宋"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505B3A4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（三）订立托管协议的原则</w:t>
      </w:r>
    </w:p>
    <w:p w14:paraId="56D70E2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基金管理人和基金托管人本着平等自愿、诚实信用、充分保护基金份额持有人合法权益的原则，经协商一致，签订本协议。</w:t>
      </w:r>
    </w:p>
    <w:p w14:paraId="1346EB00" w14:textId="77777777" w:rsidR="002E5B15" w:rsidRDefault="002E5B15">
      <w:pPr>
        <w:rPr>
          <w:rFonts w:ascii="仿宋" w:eastAsia="仿宋" w:hAnsi="仿宋" w:cs="仿宋"/>
          <w:sz w:val="24"/>
        </w:rPr>
      </w:pPr>
    </w:p>
    <w:p w14:paraId="22B22A01" w14:textId="77777777" w:rsidR="002E5B15" w:rsidRDefault="009C5419">
      <w:pPr>
        <w:pStyle w:val="2"/>
        <w:jc w:val="center"/>
        <w:rPr>
          <w:rFonts w:ascii="仿宋" w:eastAsia="仿宋" w:hAnsi="仿宋" w:cs="仿宋"/>
          <w:sz w:val="30"/>
          <w:szCs w:val="24"/>
        </w:rPr>
      </w:pPr>
      <w:bookmarkStart w:id="4" w:name="_Toc124325887"/>
      <w:r>
        <w:rPr>
          <w:rFonts w:ascii="仿宋" w:eastAsia="仿宋" w:hAnsi="仿宋" w:cs="仿宋" w:hint="eastAsia"/>
          <w:sz w:val="30"/>
        </w:rPr>
        <w:t>三、基金托管人对基金管理人的业务监督和核查</w:t>
      </w:r>
      <w:bookmarkEnd w:id="4"/>
    </w:p>
    <w:p w14:paraId="28023B6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8AD025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本基金的投资范围包括国内依法发行上市的股票(包含中小板、创业板、</w:t>
      </w:r>
      <w:proofErr w:type="gramStart"/>
      <w:r>
        <w:rPr>
          <w:rFonts w:ascii="仿宋" w:eastAsia="仿宋" w:hAnsi="仿宋" w:cs="仿宋" w:hint="eastAsia"/>
          <w:sz w:val="24"/>
        </w:rPr>
        <w:t>科创板</w:t>
      </w:r>
      <w:proofErr w:type="gramEnd"/>
      <w:r>
        <w:rPr>
          <w:rFonts w:ascii="仿宋" w:eastAsia="仿宋" w:hAnsi="仿宋" w:cs="仿宋" w:hint="eastAsia"/>
          <w:sz w:val="24"/>
        </w:rPr>
        <w:t>及其他经中国证监会核准或注册上市的股票)、港股通标的股票、债券(包括国内依法发行和上市交易的国债、央行票据、金融债券、企业债券、公司债券、中期票据、短期融资</w:t>
      </w:r>
      <w:proofErr w:type="gramStart"/>
      <w:r>
        <w:rPr>
          <w:rFonts w:ascii="仿宋" w:eastAsia="仿宋" w:hAnsi="仿宋" w:cs="仿宋" w:hint="eastAsia"/>
          <w:sz w:val="24"/>
        </w:rPr>
        <w:t>券</w:t>
      </w:r>
      <w:proofErr w:type="gramEnd"/>
      <w:r>
        <w:rPr>
          <w:rFonts w:ascii="仿宋" w:eastAsia="仿宋" w:hAnsi="仿宋" w:cs="仿宋" w:hint="eastAsia"/>
          <w:sz w:val="24"/>
        </w:rPr>
        <w:t>、超短期融资</w:t>
      </w:r>
      <w:proofErr w:type="gramStart"/>
      <w:r>
        <w:rPr>
          <w:rFonts w:ascii="仿宋" w:eastAsia="仿宋" w:hAnsi="仿宋" w:cs="仿宋" w:hint="eastAsia"/>
          <w:sz w:val="24"/>
        </w:rPr>
        <w:t>券</w:t>
      </w:r>
      <w:proofErr w:type="gramEnd"/>
      <w:r>
        <w:rPr>
          <w:rFonts w:ascii="仿宋" w:eastAsia="仿宋" w:hAnsi="仿宋" w:cs="仿宋" w:hint="eastAsia"/>
          <w:sz w:val="24"/>
        </w:rPr>
        <w:t>、公开发行的次级债券、政府支持机构债券、政府支持债券、地方政府债券、可转换债券及其他经中国证监会允许投资的债券)、资产支持证券、债券回购、银行存款(包括协议存款、定期存款及其他银行存款)、同业存单、货币市场工具、股指期货、国债期货、股票期权以及经中国证监会允许基金投资的其他金融工具，但需符合中国证监会的相关规定。</w:t>
      </w:r>
    </w:p>
    <w:p w14:paraId="203F47A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本基金可以根据法律法规的规定参与融资业务。</w:t>
      </w:r>
    </w:p>
    <w:p w14:paraId="36ACA45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未来</w:t>
      </w:r>
      <w:proofErr w:type="gramStart"/>
      <w:r>
        <w:rPr>
          <w:rFonts w:ascii="仿宋" w:eastAsia="仿宋" w:hAnsi="仿宋" w:cs="仿宋" w:hint="eastAsia"/>
          <w:sz w:val="24"/>
        </w:rPr>
        <w:t>若内地</w:t>
      </w:r>
      <w:proofErr w:type="gramEnd"/>
      <w:r>
        <w:rPr>
          <w:rFonts w:ascii="仿宋" w:eastAsia="仿宋" w:hAnsi="仿宋" w:cs="仿宋" w:hint="eastAsia"/>
          <w:sz w:val="24"/>
        </w:rPr>
        <w:t>与境外股票市场正式启动互联互通机制且法律法规或监管机构允许基金通过该机制买卖规定范围内的境外股票交易所上市的股票，本基金在履行适当程序后可参与该互联互通机制范围内的境外依法发行上市的股票投资。</w:t>
      </w:r>
    </w:p>
    <w:p w14:paraId="1828785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如法律法规或监管机构以后允许基金投资其他品种，基金管理人在履行适当程序后，可以将其纳入投资范围。</w:t>
      </w:r>
    </w:p>
    <w:p w14:paraId="639C7A70" w14:textId="77777777" w:rsidR="002E5B15" w:rsidRDefault="002E5B15">
      <w:pPr>
        <w:adjustRightInd w:val="0"/>
        <w:snapToGrid w:val="0"/>
        <w:ind w:firstLineChars="200" w:firstLine="480"/>
        <w:rPr>
          <w:rFonts w:ascii="仿宋" w:eastAsia="仿宋" w:hAnsi="仿宋" w:cs="仿宋"/>
          <w:sz w:val="24"/>
          <w:szCs w:val="30"/>
        </w:rPr>
      </w:pPr>
    </w:p>
    <w:p w14:paraId="051211A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（二）基金托管人根据有关法律法规的规定及《基金合同》的约定，对基金投资、融资比例进行监督。基金托管人按下述比例和调整期限进行监督：</w:t>
      </w:r>
    </w:p>
    <w:p w14:paraId="213CDE6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（1）本基金股票投资占基金资产的比例范围为60%—95%；本基金港股通标的股票最高投资比例不得超过股票资产的50%；本基金投资同业存单比例不超过基金资产的20%；</w:t>
      </w:r>
    </w:p>
    <w:p w14:paraId="372D1D5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 xml:space="preserve">（2）本基金每个交易日日终在扣除股指期货合约、国债期货合约和股票期权合约需缴纳的交易保证金后，应当保持不低于基金资产净值5%的现金或者到期日在一年以内的政府债券，其中现金不包括结算备付金、存出保证金、应收申购款等； </w:t>
      </w:r>
    </w:p>
    <w:p w14:paraId="58CB591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（3）本基金持有一家公司发行的证券（同一家公司在内地和香港同时上市的</w:t>
      </w:r>
      <w:r>
        <w:rPr>
          <w:rFonts w:ascii="仿宋" w:eastAsia="仿宋" w:hAnsi="仿宋" w:cs="仿宋" w:hint="eastAsia"/>
          <w:sz w:val="24"/>
        </w:rPr>
        <w:lastRenderedPageBreak/>
        <w:t>A+H股合计计算），其市值不超过基金资产净值的10％；</w:t>
      </w:r>
    </w:p>
    <w:p w14:paraId="0C268475"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（4）本基金持有一家公司发行的</w:t>
      </w:r>
      <w:proofErr w:type="gramStart"/>
      <w:r>
        <w:rPr>
          <w:rFonts w:ascii="仿宋" w:eastAsia="仿宋" w:hAnsi="仿宋" w:cs="仿宋" w:hint="eastAsia"/>
          <w:sz w:val="24"/>
        </w:rPr>
        <w:t>科创板</w:t>
      </w:r>
      <w:proofErr w:type="gramEnd"/>
      <w:r>
        <w:rPr>
          <w:rFonts w:ascii="仿宋" w:eastAsia="仿宋" w:hAnsi="仿宋" w:cs="仿宋" w:hint="eastAsia"/>
          <w:sz w:val="24"/>
        </w:rPr>
        <w:t>股票，其市值不超过基金资产净值的5％，且不超过该股票总流通市值的5%；</w:t>
      </w:r>
    </w:p>
    <w:p w14:paraId="3CB4249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5）本基金管理人管理的且由本托管人托管的全部基金持有一家公司发行的证券（同一家公司在内地和香港同时上市的A+H股合计计算），不超过该证券的10％，完全按照有关指数的构成比例进行证券投资的基金品种可以不受此条款规定的比例限制；</w:t>
      </w:r>
    </w:p>
    <w:p w14:paraId="65EC958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（6）本基金投资于同一原始权益人的各类资产支持证券的比例，不得超过基金资产净值的10％；</w:t>
      </w:r>
    </w:p>
    <w:p w14:paraId="4030A89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（7）本基金持有的全部资产支持证券，其市值不得超过基金资产净值的20％；</w:t>
      </w:r>
    </w:p>
    <w:p w14:paraId="25BFA4A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（8）本基金持有的同一(指同一信用级别)资产支持证券的比例，不得超过该资产支持证券规模的10％；</w:t>
      </w:r>
    </w:p>
    <w:p w14:paraId="441D978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（9）本基金管理人管理的且由本托管人托管的全部基金投资于同一原始权益人的各类资产支持证券，不得超过其各类资产支持证券合计规模的10％；</w:t>
      </w:r>
    </w:p>
    <w:p w14:paraId="3E4AFA9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（10）本基金应投资于信用级别评级为BBB以上(含BBB)的资产支持证券。基金持有资产支持证券期间，如果其信用等级下降、不再符合投资标准，应在评级报告发布之日起3个月内予以全部卖出；</w:t>
      </w:r>
    </w:p>
    <w:p w14:paraId="5D7C904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（11）基金财产参与股票发行申购，本基金所申报的金额不超过本基金的总资产，本基金所申报的股票数量不超过拟发行股票公司本次发行股票的总量；</w:t>
      </w:r>
    </w:p>
    <w:p w14:paraId="0EB7E5B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（12）本基金进入全国银行间同业市场进行债券回购的资金余额不得超过基金资产净值的40%，进入全国银行间同业市场进行债券回购的最长期限为1年，债券回购到期后不得展期；</w:t>
      </w:r>
    </w:p>
    <w:p w14:paraId="3FF3480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13）本基金管理人管理的且由本托管人托管的全部开放式基金（包括开放式基金以及处于开放期的定期开放基金）持有一家上市公司发行的可流通股票，不得超过该上市公司可流通股票的15%；本基金管理人管理的且由本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31E61F8" w14:textId="77777777" w:rsidR="002E5B15" w:rsidRDefault="009C5419">
      <w:pPr>
        <w:adjustRightInd w:val="0"/>
        <w:snapToGrid w:val="0"/>
        <w:ind w:firstLine="420"/>
        <w:rPr>
          <w:rFonts w:ascii="仿宋" w:eastAsia="仿宋" w:hAnsi="仿宋" w:cs="仿宋"/>
          <w:sz w:val="24"/>
        </w:rPr>
      </w:pPr>
      <w:r>
        <w:rPr>
          <w:rFonts w:ascii="仿宋" w:eastAsia="仿宋" w:hAnsi="仿宋" w:cs="仿宋" w:hint="eastAsia"/>
          <w:sz w:val="24"/>
        </w:rPr>
        <w:t>（14）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6FA160D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（15）本基金与私募类</w:t>
      </w:r>
      <w:proofErr w:type="gramStart"/>
      <w:r>
        <w:rPr>
          <w:rFonts w:ascii="仿宋" w:eastAsia="仿宋" w:hAnsi="仿宋" w:cs="仿宋" w:hint="eastAsia"/>
          <w:sz w:val="24"/>
        </w:rPr>
        <w:t>证券资管产品</w:t>
      </w:r>
      <w:proofErr w:type="gramEnd"/>
      <w:r>
        <w:rPr>
          <w:rFonts w:ascii="仿宋" w:eastAsia="仿宋" w:hAnsi="仿宋" w:cs="仿宋" w:hint="eastAsia"/>
          <w:sz w:val="24"/>
        </w:rPr>
        <w:t>及中国证监会认定的其他主体为交易对手开展逆回购交易的，可接受质押品的资质要求应当与基金合同约定的投资范围保持一致；</w:t>
      </w:r>
    </w:p>
    <w:p w14:paraId="1D0D6B7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 xml:space="preserve">（16）本基金资产总值不超过基金资产净值的140%； </w:t>
      </w:r>
    </w:p>
    <w:p w14:paraId="26E110E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（17）本基金参与股指期货交易，依据下列标准建构组合：</w:t>
      </w:r>
    </w:p>
    <w:p w14:paraId="2351F86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17.1 本基金在任何交易日日终，持有的买入股指期货合约价值，不得超过基金资产净值的10%；</w:t>
      </w:r>
    </w:p>
    <w:p w14:paraId="1AB3981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17.2本基金在任何交易日日终，持有的买入股指期货合约</w:t>
      </w:r>
      <w:r>
        <w:rPr>
          <w:rFonts w:ascii="仿宋" w:eastAsia="仿宋" w:hAnsi="仿宋" w:cs="仿宋" w:hint="eastAsia"/>
          <w:bCs/>
          <w:sz w:val="24"/>
        </w:rPr>
        <w:t>、国债期货合约价值</w:t>
      </w:r>
      <w:r>
        <w:rPr>
          <w:rFonts w:ascii="仿宋" w:eastAsia="仿宋" w:hAnsi="仿宋" w:cs="仿宋" w:hint="eastAsia"/>
          <w:sz w:val="24"/>
        </w:rPr>
        <w:t>与有价证券市值之和不得超过基金资产净值的95%，其中，有价证券指股票、债券（不含到期日在一年以内的政府债券）、资产支持证券、买入返售金融资产（不含质押式回购）等；</w:t>
      </w:r>
    </w:p>
    <w:p w14:paraId="76DF13F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17.3 本基金在任何交易日日终，持有的卖出股指期货合约价值不得超过本基金持有的股票总市值的20%；</w:t>
      </w:r>
    </w:p>
    <w:p w14:paraId="670E6BA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17.4 本基金所持有的股票市值和买入、卖出股指期货合约价值，合计（轧差计算）应当符合基金合同关于股票投资比例的有关约定；</w:t>
      </w:r>
    </w:p>
    <w:p w14:paraId="2F45066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17.5 本基金在任何交易日内交易（不包括平仓）的股指期货合约的成交金额不得超过上一交易日基金资产净值的20%；</w:t>
      </w:r>
    </w:p>
    <w:p w14:paraId="0612F58F" w14:textId="77777777" w:rsidR="002E5B15" w:rsidRDefault="009C5419">
      <w:pPr>
        <w:adjustRightInd w:val="0"/>
        <w:snapToGrid w:val="0"/>
        <w:ind w:firstLineChars="200" w:firstLine="480"/>
        <w:rPr>
          <w:rFonts w:ascii="仿宋" w:eastAsia="仿宋" w:hAnsi="仿宋" w:cs="仿宋"/>
          <w:bCs/>
          <w:sz w:val="24"/>
        </w:rPr>
      </w:pPr>
      <w:r>
        <w:rPr>
          <w:rFonts w:ascii="仿宋" w:eastAsia="仿宋" w:hAnsi="仿宋" w:cs="仿宋" w:hint="eastAsia"/>
          <w:bCs/>
          <w:sz w:val="24"/>
        </w:rPr>
        <w:t>（18）本基金</w:t>
      </w:r>
      <w:proofErr w:type="gramStart"/>
      <w:r>
        <w:rPr>
          <w:rFonts w:ascii="仿宋" w:eastAsia="仿宋" w:hAnsi="仿宋" w:cs="仿宋" w:hint="eastAsia"/>
          <w:bCs/>
          <w:sz w:val="24"/>
        </w:rPr>
        <w:t>若参</w:t>
      </w:r>
      <w:proofErr w:type="gramEnd"/>
      <w:r>
        <w:rPr>
          <w:rFonts w:ascii="仿宋" w:eastAsia="仿宋" w:hAnsi="仿宋" w:cs="仿宋" w:hint="eastAsia"/>
          <w:bCs/>
          <w:sz w:val="24"/>
        </w:rPr>
        <w:t>与国债期货交易，需遵守下列投资比例限制：</w:t>
      </w:r>
    </w:p>
    <w:p w14:paraId="20633084" w14:textId="77777777" w:rsidR="002E5B15" w:rsidRDefault="009C5419">
      <w:pPr>
        <w:adjustRightInd w:val="0"/>
        <w:snapToGrid w:val="0"/>
        <w:ind w:firstLineChars="200" w:firstLine="480"/>
        <w:rPr>
          <w:rFonts w:ascii="仿宋" w:eastAsia="仿宋" w:hAnsi="仿宋" w:cs="仿宋"/>
          <w:bCs/>
          <w:sz w:val="24"/>
        </w:rPr>
      </w:pPr>
      <w:r>
        <w:rPr>
          <w:rFonts w:ascii="仿宋" w:eastAsia="仿宋" w:hAnsi="仿宋" w:cs="仿宋" w:hint="eastAsia"/>
          <w:bCs/>
          <w:sz w:val="24"/>
        </w:rPr>
        <w:t>18.1本基金在任何交易日日终，持有的买入国债期货合约价值，不得超过基金资产净值的 15%；</w:t>
      </w:r>
    </w:p>
    <w:p w14:paraId="1848E8F5" w14:textId="77777777" w:rsidR="002E5B15" w:rsidRDefault="009C5419">
      <w:pPr>
        <w:adjustRightInd w:val="0"/>
        <w:snapToGrid w:val="0"/>
        <w:ind w:firstLineChars="200" w:firstLine="480"/>
        <w:rPr>
          <w:rFonts w:ascii="仿宋" w:eastAsia="仿宋" w:hAnsi="仿宋" w:cs="仿宋"/>
          <w:bCs/>
          <w:sz w:val="24"/>
        </w:rPr>
      </w:pPr>
      <w:r>
        <w:rPr>
          <w:rFonts w:ascii="仿宋" w:eastAsia="仿宋" w:hAnsi="仿宋" w:cs="仿宋" w:hint="eastAsia"/>
          <w:bCs/>
          <w:sz w:val="24"/>
        </w:rPr>
        <w:t>18.2本基金在任何交易日日终，持有的卖出国债期货合约价值不得超过基金 持有的债券总市值的 30%；</w:t>
      </w:r>
    </w:p>
    <w:p w14:paraId="401DD0E7" w14:textId="77777777" w:rsidR="002E5B15" w:rsidRDefault="009C5419">
      <w:pPr>
        <w:adjustRightInd w:val="0"/>
        <w:snapToGrid w:val="0"/>
        <w:ind w:firstLineChars="200" w:firstLine="480"/>
        <w:rPr>
          <w:rFonts w:ascii="仿宋" w:eastAsia="仿宋" w:hAnsi="仿宋" w:cs="仿宋"/>
          <w:bCs/>
          <w:sz w:val="24"/>
        </w:rPr>
      </w:pPr>
      <w:r>
        <w:rPr>
          <w:rFonts w:ascii="仿宋" w:eastAsia="仿宋" w:hAnsi="仿宋" w:cs="仿宋" w:hint="eastAsia"/>
          <w:bCs/>
          <w:sz w:val="24"/>
        </w:rPr>
        <w:t>18.3本基金在任何交易日内交易（不包括平仓）的国债期货合约的成交金额 不得超过上一交易日基金资产净值的 30%；</w:t>
      </w:r>
    </w:p>
    <w:p w14:paraId="52E3F5D9" w14:textId="77777777" w:rsidR="002E5B15" w:rsidRDefault="009C5419">
      <w:pPr>
        <w:adjustRightInd w:val="0"/>
        <w:snapToGrid w:val="0"/>
        <w:ind w:firstLineChars="200" w:firstLine="480"/>
        <w:rPr>
          <w:rFonts w:ascii="仿宋" w:eastAsia="仿宋" w:hAnsi="仿宋" w:cs="仿宋"/>
          <w:bCs/>
          <w:sz w:val="24"/>
        </w:rPr>
      </w:pPr>
      <w:r>
        <w:rPr>
          <w:rFonts w:ascii="仿宋" w:eastAsia="仿宋" w:hAnsi="仿宋" w:cs="仿宋" w:hint="eastAsia"/>
          <w:bCs/>
          <w:sz w:val="24"/>
        </w:rPr>
        <w:t>18.4本基金所持有的债券（不含到期日在一年以内的政府债券）市值和买入、 卖出国债期货合约价值，合计（轧差计算）应当符合基金合同关于债券投资比例 的有关约定；</w:t>
      </w:r>
    </w:p>
    <w:p w14:paraId="0E5B6E1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（19）因未平仓的股票期权合约支付和收取的权利金总额不得超过基金资产净值的1 0 %；开仓卖出认购股票期权的，应持有足额标的证券；开仓卖出认</w:t>
      </w:r>
      <w:proofErr w:type="gramStart"/>
      <w:r>
        <w:rPr>
          <w:rFonts w:ascii="仿宋" w:eastAsia="仿宋" w:hAnsi="仿宋" w:cs="仿宋" w:hint="eastAsia"/>
          <w:sz w:val="24"/>
        </w:rPr>
        <w:t>沽股票</w:t>
      </w:r>
      <w:proofErr w:type="gramEnd"/>
      <w:r>
        <w:rPr>
          <w:rFonts w:ascii="仿宋" w:eastAsia="仿宋" w:hAnsi="仿宋" w:cs="仿宋" w:hint="eastAsia"/>
          <w:sz w:val="24"/>
        </w:rPr>
        <w:t>期权的，应持有合约行权所需的全额现金或交易所规则认可的可冲抵股票期权保证金的现金等价物；未平仓的股票期权合约面值不得超过基金资产净值的20% 。其中，合约面值按照行权价乘以合约乘数计算；基金投资股票期权符合基金合同约定的比例限制 （如股票</w:t>
      </w:r>
      <w:proofErr w:type="gramStart"/>
      <w:r>
        <w:rPr>
          <w:rFonts w:ascii="仿宋" w:eastAsia="仿宋" w:hAnsi="仿宋" w:cs="仿宋" w:hint="eastAsia"/>
          <w:sz w:val="24"/>
        </w:rPr>
        <w:t>仓位</w:t>
      </w:r>
      <w:proofErr w:type="gramEnd"/>
      <w:r>
        <w:rPr>
          <w:rFonts w:ascii="仿宋" w:eastAsia="仿宋" w:hAnsi="仿宋" w:cs="仿宋" w:hint="eastAsia"/>
          <w:sz w:val="24"/>
        </w:rPr>
        <w:t>、个股占比等）、投资目标和风险收益特征；</w:t>
      </w:r>
    </w:p>
    <w:p w14:paraId="649A025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（20）本基金参与融资业务后，在任何交易日日终，持有的融资买入股票与其他有价证券市值之和，不得超过基金资产净值的95%；</w:t>
      </w:r>
    </w:p>
    <w:p w14:paraId="035811E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（21）法律法规及中国证监会规定的和《基金合同》约定的其他投资限制。</w:t>
      </w:r>
    </w:p>
    <w:p w14:paraId="64B4A0E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本基金在开始进行期货投资之前，应与基金托管人、期货公司三方</w:t>
      </w:r>
      <w:proofErr w:type="gramStart"/>
      <w:r>
        <w:rPr>
          <w:rFonts w:ascii="仿宋" w:eastAsia="仿宋" w:hAnsi="仿宋" w:cs="仿宋" w:hint="eastAsia"/>
          <w:sz w:val="24"/>
        </w:rPr>
        <w:t>一同就</w:t>
      </w:r>
      <w:proofErr w:type="gramEnd"/>
      <w:r>
        <w:rPr>
          <w:rFonts w:ascii="仿宋" w:eastAsia="仿宋" w:hAnsi="仿宋" w:cs="仿宋" w:hint="eastAsia"/>
          <w:sz w:val="24"/>
        </w:rPr>
        <w:t>期货开户、清算、估值、交收等事宜另行签署《期货投资托管操作三方备忘录》。</w:t>
      </w:r>
    </w:p>
    <w:p w14:paraId="008D24F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法律法规或监管部门取消上述或调整限制，如适用于本基金，基金管理人在履行适当程序后，则本基金投资不再受相关限制或按照调整后的规定执行。</w:t>
      </w:r>
    </w:p>
    <w:p w14:paraId="41D0054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除上述（2）、（10）、（14）、（15）情形之外，因证券、期货市场波动、上市公司合并、基金规模变动等基金管理人之外的因素致使基金投资比例不符合上述规定投资比例的，基金管理人应当在10个交易日内进行调整，但中国证监会规定的特殊情形除外。法律法规另有规定的，从其规定。</w:t>
      </w:r>
    </w:p>
    <w:p w14:paraId="64673DB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7B6D73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（三）基金托管人</w:t>
      </w:r>
      <w:bookmarkStart w:id="5" w:name="OLE_LINK1"/>
      <w:r>
        <w:rPr>
          <w:rFonts w:ascii="仿宋" w:eastAsia="仿宋" w:hAnsi="仿宋" w:cs="仿宋" w:hint="eastAsia"/>
          <w:sz w:val="24"/>
        </w:rPr>
        <w:t>根据有关法律法规的规定及《基金合同》的约定，</w:t>
      </w:r>
      <w:bookmarkEnd w:id="5"/>
      <w:r>
        <w:rPr>
          <w:rFonts w:ascii="仿宋" w:eastAsia="仿宋" w:hAnsi="仿宋" w:cs="仿宋" w:hint="eastAsia"/>
          <w:sz w:val="24"/>
        </w:rPr>
        <w:t>对本托管协议第十五条第九款基金投资禁止行为通过事后监督方式进行监督。</w:t>
      </w:r>
    </w:p>
    <w:p w14:paraId="6C6B34F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Pr>
          <w:rFonts w:ascii="仿宋" w:eastAsia="仿宋" w:hAnsi="仿宋" w:cs="仿宋" w:hint="eastAsia"/>
          <w:bCs/>
          <w:sz w:val="24"/>
        </w:rPr>
        <w:t>。</w:t>
      </w:r>
      <w:r>
        <w:rPr>
          <w:rFonts w:ascii="仿宋" w:eastAsia="仿宋" w:hAnsi="仿宋" w:cs="仿宋" w:hint="eastAsia"/>
          <w:sz w:val="24"/>
        </w:rPr>
        <w:t>相关交易必须事先得到基金托管人的同意，并</w:t>
      </w:r>
      <w:r>
        <w:rPr>
          <w:rFonts w:ascii="仿宋" w:eastAsia="仿宋" w:hAnsi="仿宋" w:cs="仿宋" w:hint="eastAsia"/>
          <w:bCs/>
          <w:sz w:val="24"/>
        </w:rPr>
        <w:t>按法律法规予以披露</w:t>
      </w:r>
      <w:r>
        <w:rPr>
          <w:rFonts w:ascii="仿宋" w:eastAsia="仿宋" w:hAnsi="仿宋" w:cs="仿宋" w:hint="eastAsia"/>
          <w:sz w:val="24"/>
        </w:rPr>
        <w:t>。</w:t>
      </w:r>
    </w:p>
    <w:p w14:paraId="67DCD03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法律法规或监管部门取消或调整上述限制，如适用于本基金，基金管理人在履行适当程序后，则本基金投资按照取消或按照调整后的规定执行。</w:t>
      </w:r>
    </w:p>
    <w:p w14:paraId="1D2C7CAA" w14:textId="77777777" w:rsidR="002E5B15" w:rsidRDefault="009C5419">
      <w:pPr>
        <w:adjustRightInd w:val="0"/>
        <w:snapToGrid w:val="0"/>
        <w:ind w:firstLineChars="200" w:firstLine="480"/>
        <w:rPr>
          <w:rFonts w:ascii="仿宋" w:eastAsia="仿宋" w:hAnsi="仿宋" w:cs="仿宋"/>
        </w:rPr>
      </w:pPr>
      <w:r>
        <w:rPr>
          <w:rFonts w:ascii="仿宋" w:eastAsia="仿宋" w:hAnsi="仿宋" w:cs="仿宋"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w:t>
      </w:r>
      <w:r>
        <w:rPr>
          <w:rFonts w:ascii="仿宋" w:eastAsia="仿宋" w:hAnsi="仿宋" w:cs="仿宋" w:hint="eastAsia"/>
          <w:sz w:val="24"/>
        </w:rPr>
        <w:lastRenderedPageBreak/>
        <w:t>协商解决。</w:t>
      </w:r>
    </w:p>
    <w:p w14:paraId="4EB73F74" w14:textId="77777777" w:rsidR="002E5B15" w:rsidRDefault="009C5419">
      <w:pPr>
        <w:adjustRightInd w:val="0"/>
        <w:snapToGrid w:val="0"/>
        <w:ind w:firstLineChars="200" w:firstLine="480"/>
        <w:rPr>
          <w:rFonts w:ascii="仿宋" w:eastAsia="仿宋" w:hAnsi="仿宋" w:cs="仿宋"/>
        </w:rPr>
      </w:pPr>
      <w:r>
        <w:rPr>
          <w:rFonts w:ascii="仿宋" w:eastAsia="仿宋" w:hAnsi="仿宋" w:cs="仿宋" w:hint="eastAsia"/>
          <w:color w:val="000000"/>
          <w:sz w:val="24"/>
        </w:rPr>
        <w:t>基金管理人负责对交易对手的资信控制，按银行间债券市场的交易规则进行交易，并</w:t>
      </w:r>
      <w:r>
        <w:rPr>
          <w:rFonts w:ascii="仿宋" w:eastAsia="仿宋" w:hAnsi="仿宋" w:cs="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Pr>
          <w:rFonts w:ascii="仿宋" w:eastAsia="仿宋" w:hAnsi="仿宋" w:cs="仿宋"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670A19B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（五）基金托管人根据有关法律法规的规定及《基金合同》的约定，对基金管理人投资流通受限证券进行监督。</w:t>
      </w:r>
    </w:p>
    <w:p w14:paraId="098A1DE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2AA3A9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本基金投资的流通受限证券与上文所述的流动性受限资产并不完全一致，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仿宋" w:eastAsia="仿宋" w:hAnsi="仿宋" w:cs="仿宋" w:hint="eastAsia"/>
          <w:sz w:val="24"/>
        </w:rPr>
        <w:t>券</w:t>
      </w:r>
      <w:proofErr w:type="gramEnd"/>
      <w:r>
        <w:rPr>
          <w:rFonts w:ascii="仿宋" w:eastAsia="仿宋" w:hAnsi="仿宋" w:cs="仿宋" w:hint="eastAsia"/>
          <w:sz w:val="24"/>
        </w:rPr>
        <w:t>等流通受限证券。本基金不投资有</w:t>
      </w:r>
      <w:proofErr w:type="gramStart"/>
      <w:r>
        <w:rPr>
          <w:rFonts w:ascii="仿宋" w:eastAsia="仿宋" w:hAnsi="仿宋" w:cs="仿宋" w:hint="eastAsia"/>
          <w:sz w:val="24"/>
        </w:rPr>
        <w:t>锁定期但锁定</w:t>
      </w:r>
      <w:proofErr w:type="gramEnd"/>
      <w:r>
        <w:rPr>
          <w:rFonts w:ascii="仿宋" w:eastAsia="仿宋" w:hAnsi="仿宋" w:cs="仿宋" w:hint="eastAsia"/>
          <w:sz w:val="24"/>
        </w:rPr>
        <w:t>期不明确的证券。</w:t>
      </w:r>
    </w:p>
    <w:p w14:paraId="27970050"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66F3B2C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本基金投资的流通受限证券应保证登记存管在本基金名下，基金管理人负责相关工作的落实和协调，并确保基金托管人能够正常查询。因基金管理</w:t>
      </w:r>
      <w:proofErr w:type="gramStart"/>
      <w:r>
        <w:rPr>
          <w:rFonts w:ascii="仿宋" w:eastAsia="仿宋" w:hAnsi="仿宋" w:cs="仿宋" w:hint="eastAsia"/>
          <w:sz w:val="24"/>
        </w:rPr>
        <w:t>人原因</w:t>
      </w:r>
      <w:proofErr w:type="gramEnd"/>
      <w:r>
        <w:rPr>
          <w:rFonts w:ascii="仿宋" w:eastAsia="仿宋" w:hAnsi="仿宋" w:cs="仿宋" w:hint="eastAsia"/>
          <w:sz w:val="24"/>
        </w:rPr>
        <w:t>产生的流通受限证券登记存管问题，造成基金托管人无法安全保管本基金资产的责任与损失，及因流通受限证券存管直接影响本基金安全的责任及损失，由基金管理人承担。</w:t>
      </w:r>
    </w:p>
    <w:p w14:paraId="2E1EABE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本基金投资流通受限证券，不得预付任何形式的保证金。</w:t>
      </w:r>
    </w:p>
    <w:p w14:paraId="69B673F1"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2.基金管理人投资非公开发行股票，应制订流动性风险处置预案并经其董事会批准。风险处置预案应包括但不限于因投资流通受限证券需要解决的基金投资比</w:t>
      </w:r>
      <w:r>
        <w:rPr>
          <w:rFonts w:ascii="仿宋" w:eastAsia="仿宋" w:hAnsi="仿宋" w:cs="仿宋" w:hint="eastAsia"/>
          <w:sz w:val="24"/>
        </w:rPr>
        <w:lastRenderedPageBreak/>
        <w:t>例限制失调、基金流动性困难以及相关损失的应对解决措施，以及有关异常情况的处置。基金管理人应在首次投资流通受限证券前向基金托管人提供基金投资非公开发行股票相关流动性风险处置预案。</w:t>
      </w:r>
    </w:p>
    <w:p w14:paraId="178AE462"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Pr>
          <w:rFonts w:ascii="仿宋" w:eastAsia="仿宋" w:hAnsi="仿宋" w:cs="仿宋" w:hint="eastAsia"/>
          <w:sz w:val="24"/>
        </w:rPr>
        <w:t>人原因</w:t>
      </w:r>
      <w:proofErr w:type="gramEnd"/>
      <w:r>
        <w:rPr>
          <w:rFonts w:ascii="仿宋" w:eastAsia="仿宋" w:hAnsi="仿宋" w:cs="仿宋" w:hint="eastAsia"/>
          <w:sz w:val="24"/>
        </w:rPr>
        <w:t>导致本基金出现损失致使基金托管人承担连带赔偿责任的，基金管理人应赔偿基金托管人由此遭受的损失。</w:t>
      </w:r>
    </w:p>
    <w:p w14:paraId="4668326F"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66393F5"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（1）中国证监会批准发行非公开发行股票的批准文件。</w:t>
      </w:r>
    </w:p>
    <w:p w14:paraId="552FEA5B"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（2）非公开发行股票有关发行数量、发行价格、锁定期等发行资料。</w:t>
      </w:r>
    </w:p>
    <w:p w14:paraId="2A3E826C"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（3）非公开发行股票发行人与中国证券登记结算有限责任公司或中央国债登记结算有限责任公司签订的证券登记及服务协议。</w:t>
      </w:r>
    </w:p>
    <w:p w14:paraId="3B1E292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（4）基金拟认购的数量、价格、总成本、账面价值。</w:t>
      </w:r>
    </w:p>
    <w:p w14:paraId="0F1D6E53"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4.基金管理人应在本基金投资非公开发行股票后两个交易日内，在中国证监会指定媒介披露所投资非公开发行股票的名称、数量、总成本、账面价值，以及总成本和账面价值占基金资产净值的比例、锁定期等信息。</w:t>
      </w:r>
    </w:p>
    <w:p w14:paraId="771E1F9F"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lastRenderedPageBreak/>
        <w:t>本基金有关投资流通受限证券比例如违反有关限制规定，在合理期限内未能进行及时调整，基金管理人应在两个工作日内编制临时报告书，予以公告。</w:t>
      </w:r>
    </w:p>
    <w:p w14:paraId="59AFFCD0"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5.基金托管人根据有关规定有权对基金管理人进行以下事项监督：</w:t>
      </w:r>
    </w:p>
    <w:p w14:paraId="4F82A0B0"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（1）本基金投资流通受限证券时的法律法规遵守情况。</w:t>
      </w:r>
    </w:p>
    <w:p w14:paraId="615B53B5"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（2）在基金投资流通受限证券管理工作方面有关制度、流动性风险处置预案的建立与完善情况。</w:t>
      </w:r>
    </w:p>
    <w:p w14:paraId="07A72372"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（3）有关比例限制的执行情况。</w:t>
      </w:r>
    </w:p>
    <w:p w14:paraId="320773FA"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（4）信息披露情况。</w:t>
      </w:r>
    </w:p>
    <w:p w14:paraId="62F91410" w14:textId="77777777" w:rsidR="002E5B15" w:rsidRDefault="009C5419">
      <w:pPr>
        <w:adjustRightInd w:val="0"/>
        <w:snapToGrid w:val="0"/>
        <w:ind w:firstLineChars="200" w:firstLine="480"/>
        <w:rPr>
          <w:rFonts w:ascii="仿宋" w:eastAsia="仿宋" w:hAnsi="仿宋" w:cs="仿宋"/>
          <w:i/>
          <w:sz w:val="24"/>
        </w:rPr>
      </w:pPr>
      <w:r>
        <w:rPr>
          <w:rFonts w:ascii="仿宋" w:eastAsia="仿宋" w:hAnsi="仿宋" w:cs="仿宋" w:hint="eastAsia"/>
          <w:sz w:val="24"/>
        </w:rPr>
        <w:t>6.相关法律法规对基金投资流通受限证券有新规定的，从其规定。</w:t>
      </w:r>
    </w:p>
    <w:p w14:paraId="0883864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8C30AD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2D82B02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9AD3CF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（九）</w:t>
      </w:r>
      <w:proofErr w:type="gramStart"/>
      <w:r>
        <w:rPr>
          <w:rFonts w:ascii="仿宋" w:eastAsia="仿宋" w:hAnsi="仿宋" w:cs="仿宋" w:hint="eastAsia"/>
          <w:sz w:val="24"/>
        </w:rPr>
        <w:t>若基金</w:t>
      </w:r>
      <w:proofErr w:type="gramEnd"/>
      <w:r>
        <w:rPr>
          <w:rFonts w:ascii="仿宋" w:eastAsia="仿宋" w:hAnsi="仿宋" w:cs="仿宋" w:hint="eastAsia"/>
          <w:sz w:val="24"/>
        </w:rPr>
        <w:t>托管人发现基金管理人依据交易程序已经生效的指令违反法律、行政法规和其他有关规定，或者违反《基金合同》约定的，应当立即通知基金管理人，由此造成的损失由基金管理人承担。</w:t>
      </w:r>
    </w:p>
    <w:p w14:paraId="56086CF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48A057" w14:textId="77777777" w:rsidR="002E5B15" w:rsidRDefault="002E5B15">
      <w:pPr>
        <w:rPr>
          <w:rFonts w:ascii="仿宋" w:eastAsia="仿宋" w:hAnsi="仿宋" w:cs="仿宋"/>
          <w:sz w:val="24"/>
        </w:rPr>
      </w:pPr>
    </w:p>
    <w:p w14:paraId="293BD8F6" w14:textId="77777777" w:rsidR="002E5B15" w:rsidRDefault="009C5419">
      <w:pPr>
        <w:pStyle w:val="2"/>
        <w:jc w:val="center"/>
        <w:rPr>
          <w:rFonts w:ascii="仿宋" w:eastAsia="仿宋" w:hAnsi="仿宋" w:cs="仿宋"/>
          <w:sz w:val="30"/>
        </w:rPr>
      </w:pPr>
      <w:bookmarkStart w:id="6" w:name="_Toc86649722"/>
      <w:bookmarkStart w:id="7" w:name="_Toc86726439"/>
      <w:bookmarkStart w:id="8" w:name="_Toc86727355"/>
      <w:bookmarkStart w:id="9" w:name="_Toc86737929"/>
      <w:bookmarkStart w:id="10" w:name="_Toc86225291"/>
      <w:bookmarkStart w:id="11" w:name="_Toc86223242"/>
      <w:bookmarkStart w:id="12" w:name="_Toc110761796"/>
      <w:bookmarkStart w:id="13" w:name="_Toc89163368"/>
      <w:bookmarkStart w:id="14" w:name="_Toc118774803"/>
      <w:bookmarkStart w:id="15" w:name="_Toc124325888"/>
      <w:bookmarkStart w:id="16" w:name="_Toc118212950"/>
      <w:bookmarkStart w:id="17" w:name="_Toc110830492"/>
      <w:bookmarkStart w:id="18" w:name="_Toc110765660"/>
      <w:bookmarkStart w:id="19" w:name="_Toc108512358"/>
      <w:bookmarkStart w:id="20" w:name="_Toc118972648"/>
      <w:bookmarkStart w:id="21" w:name="_Toc119402710"/>
      <w:bookmarkStart w:id="22" w:name="_Toc120435783"/>
      <w:r>
        <w:rPr>
          <w:rFonts w:ascii="仿宋" w:eastAsia="仿宋" w:hAnsi="仿宋" w:cs="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7FF2769"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1297E361"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Pr>
          <w:rFonts w:ascii="仿宋" w:eastAsia="仿宋" w:hAnsi="仿宋" w:cs="仿宋" w:hint="eastAsia"/>
          <w:sz w:val="24"/>
        </w:rPr>
        <w:t>供基金</w:t>
      </w:r>
      <w:proofErr w:type="gramEnd"/>
      <w:r>
        <w:rPr>
          <w:rFonts w:ascii="仿宋" w:eastAsia="仿宋" w:hAnsi="仿宋" w:cs="仿宋" w:hint="eastAsia"/>
          <w:sz w:val="24"/>
        </w:rPr>
        <w:t>管理人核查托管财产的完整性和真实性，在规定时间内答复基金管理人并改正。</w:t>
      </w:r>
    </w:p>
    <w:p w14:paraId="67FABA02"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8BEBA4B" w14:textId="77777777" w:rsidR="002E5B15" w:rsidRDefault="002E5B15">
      <w:pPr>
        <w:rPr>
          <w:rFonts w:ascii="仿宋" w:eastAsia="仿宋" w:hAnsi="仿宋" w:cs="仿宋"/>
          <w:sz w:val="24"/>
        </w:rPr>
      </w:pPr>
    </w:p>
    <w:p w14:paraId="67FD815F" w14:textId="77777777" w:rsidR="002E5B15" w:rsidRDefault="009C5419">
      <w:pPr>
        <w:pStyle w:val="2"/>
        <w:jc w:val="center"/>
        <w:rPr>
          <w:rFonts w:ascii="仿宋" w:eastAsia="仿宋" w:hAnsi="仿宋" w:cs="仿宋"/>
          <w:sz w:val="30"/>
        </w:rPr>
      </w:pPr>
      <w:bookmarkStart w:id="23" w:name="_Toc124325889"/>
      <w:bookmarkStart w:id="24" w:name="_Toc84133786"/>
      <w:bookmarkStart w:id="25" w:name="_Toc84234388"/>
      <w:bookmarkStart w:id="26" w:name="_Toc84234435"/>
      <w:bookmarkStart w:id="27" w:name="_Toc86204789"/>
      <w:bookmarkStart w:id="28" w:name="_Toc86225292"/>
      <w:bookmarkStart w:id="29" w:name="_Toc86649723"/>
      <w:bookmarkStart w:id="30" w:name="_Toc86726440"/>
      <w:bookmarkStart w:id="31" w:name="_Toc86223243"/>
      <w:bookmarkStart w:id="32" w:name="_Toc118212951"/>
      <w:bookmarkStart w:id="33" w:name="_Toc110830493"/>
      <w:bookmarkStart w:id="34" w:name="_Toc110765661"/>
      <w:bookmarkStart w:id="35" w:name="_Toc118774804"/>
      <w:bookmarkStart w:id="36" w:name="_Toc118972649"/>
      <w:bookmarkStart w:id="37" w:name="_Toc120435784"/>
      <w:bookmarkStart w:id="38" w:name="_Toc119402711"/>
      <w:bookmarkStart w:id="39" w:name="_Toc108512359"/>
      <w:bookmarkStart w:id="40" w:name="_Toc86727356"/>
      <w:bookmarkStart w:id="41" w:name="_Toc110761797"/>
      <w:bookmarkStart w:id="42" w:name="_Toc89163369"/>
      <w:bookmarkStart w:id="43" w:name="_Toc86737930"/>
      <w:r>
        <w:rPr>
          <w:rFonts w:ascii="仿宋" w:eastAsia="仿宋" w:hAnsi="仿宋" w:cs="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3590736"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（一）基金财产保管的原则</w:t>
      </w:r>
    </w:p>
    <w:p w14:paraId="09765319"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1.基金财产应独立于基金管理人、基金托管人的固有财产。</w:t>
      </w:r>
    </w:p>
    <w:p w14:paraId="1B5EAD91"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2.基金托管人应安全保管基金财产。</w:t>
      </w:r>
    </w:p>
    <w:p w14:paraId="1A355218"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lastRenderedPageBreak/>
        <w:t>3.基金托管人按照规定开设基金财产的资金账户、证券账户等投资所需账户。</w:t>
      </w:r>
    </w:p>
    <w:p w14:paraId="0A9B21F6"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4.基金托管人对所托管的不同基金财产分别设置账户，确保基金财产的完整与独立。</w:t>
      </w:r>
    </w:p>
    <w:p w14:paraId="7C729987"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w:t>
      </w:r>
      <w:proofErr w:type="gramStart"/>
      <w:r>
        <w:rPr>
          <w:rFonts w:ascii="仿宋" w:eastAsia="仿宋" w:hAnsi="仿宋" w:cs="仿宋" w:hint="eastAsia"/>
          <w:sz w:val="24"/>
        </w:rPr>
        <w:t>收交易</w:t>
      </w:r>
      <w:proofErr w:type="gramEnd"/>
      <w:r>
        <w:rPr>
          <w:rFonts w:ascii="仿宋" w:eastAsia="仿宋" w:hAnsi="仿宋" w:cs="仿宋" w:hint="eastAsia"/>
          <w:sz w:val="24"/>
        </w:rPr>
        <w:t>费、结算费和账户维护费等费用）。</w:t>
      </w:r>
    </w:p>
    <w:p w14:paraId="5378D4F7"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D8EEA8F"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7.除依据法律法规和《基金合同》的规定外，基金托管人不得委托第三人托管基金财产。</w:t>
      </w:r>
    </w:p>
    <w:p w14:paraId="4EC96031"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（二）基金募集期间及募集资金的验资</w:t>
      </w:r>
    </w:p>
    <w:p w14:paraId="1E7C1563"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1.基金募集期间募集的资金应存于基金管理人在基金托管人的营业机构开立的“基金募集专户”。该账户由基金管理人开立并管理。</w:t>
      </w:r>
    </w:p>
    <w:p w14:paraId="194D4BC9"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561292C"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3.</w:t>
      </w:r>
      <w:proofErr w:type="gramStart"/>
      <w:r>
        <w:rPr>
          <w:rFonts w:ascii="仿宋" w:eastAsia="仿宋" w:hAnsi="仿宋" w:cs="仿宋" w:hint="eastAsia"/>
          <w:sz w:val="24"/>
        </w:rPr>
        <w:t>若基金</w:t>
      </w:r>
      <w:proofErr w:type="gramEnd"/>
      <w:r>
        <w:rPr>
          <w:rFonts w:ascii="仿宋" w:eastAsia="仿宋" w:hAnsi="仿宋" w:cs="仿宋" w:hint="eastAsia"/>
          <w:sz w:val="24"/>
        </w:rPr>
        <w:t>募集期限届满，未能达到《基金合同》生效的条件，由基金管理人按规定办理退款等事宜。</w:t>
      </w:r>
    </w:p>
    <w:p w14:paraId="3B755DF1"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（三）基金银行账户的开立和管理</w:t>
      </w:r>
    </w:p>
    <w:p w14:paraId="20A1C20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1.基金托管人可以基金的名义在其营业机构开立基金的银行账户，并根据基金管理人合法合</w:t>
      </w:r>
      <w:proofErr w:type="gramStart"/>
      <w:r>
        <w:rPr>
          <w:rFonts w:ascii="仿宋" w:eastAsia="仿宋" w:hAnsi="仿宋" w:cs="仿宋" w:hint="eastAsia"/>
          <w:sz w:val="24"/>
        </w:rPr>
        <w:t>规</w:t>
      </w:r>
      <w:proofErr w:type="gramEnd"/>
      <w:r>
        <w:rPr>
          <w:rFonts w:ascii="仿宋" w:eastAsia="仿宋" w:hAnsi="仿宋" w:cs="仿宋" w:hint="eastAsia"/>
          <w:sz w:val="24"/>
        </w:rPr>
        <w:t>的指令办理资金收付。本基金的银行预留印鉴由基金托管人保管和使用。</w:t>
      </w:r>
    </w:p>
    <w:p w14:paraId="789DCB27"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88788FC"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3.基金银行账户的开立和管理应符合银行业监督管理机构的有关规定。</w:t>
      </w:r>
    </w:p>
    <w:p w14:paraId="629F0216"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4.在符合法律法规规定的条件下，基金托管人可以通过基金托管人专用账户办</w:t>
      </w:r>
      <w:r>
        <w:rPr>
          <w:rFonts w:ascii="仿宋" w:eastAsia="仿宋" w:hAnsi="仿宋" w:cs="仿宋" w:hint="eastAsia"/>
          <w:sz w:val="24"/>
        </w:rPr>
        <w:lastRenderedPageBreak/>
        <w:t>理基金资产的支付。</w:t>
      </w:r>
    </w:p>
    <w:p w14:paraId="091FFE55"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5.基金管理人应于托管产品到期后及时完成收益兑付、费用结清及其他应收应付款项资金划转，在委托资产/投资者</w:t>
      </w:r>
      <w:proofErr w:type="gramStart"/>
      <w:r>
        <w:rPr>
          <w:rFonts w:ascii="仿宋" w:eastAsia="仿宋" w:hAnsi="仿宋" w:cs="仿宋" w:hint="eastAsia"/>
          <w:sz w:val="24"/>
        </w:rPr>
        <w:t>赎回款</w:t>
      </w:r>
      <w:proofErr w:type="gramEnd"/>
      <w:r>
        <w:rPr>
          <w:rFonts w:ascii="仿宋" w:eastAsia="仿宋" w:hAnsi="仿宋" w:cs="仿宋" w:hint="eastAsia"/>
          <w:sz w:val="24"/>
        </w:rPr>
        <w:t>全部划出后的10个工作日内向托管人发出销户申请。</w:t>
      </w:r>
    </w:p>
    <w:p w14:paraId="2B6CAB6B"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（四）基金证券账户和结算备付金账户的开立和管理</w:t>
      </w:r>
    </w:p>
    <w:p w14:paraId="02F8E59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1.基金托管人在中国证券登记结算有限责任公司为基金开立基金托管人与基金联名的证券账户。</w:t>
      </w:r>
    </w:p>
    <w:p w14:paraId="218D854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D3F25C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3.基金证券账户的开立和证券账户卡的保管由基金托管人负责，账户资产的管理和运用由基金管理人负责。</w:t>
      </w:r>
    </w:p>
    <w:p w14:paraId="0A990F2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证券账户开户费由基金管理人先行垫付,待托管产品启始运营后,基金管理人可向基金托管人发送划款指令,将代垫开户费从本基金托管资金账户中扣还基金管理人。</w:t>
      </w:r>
    </w:p>
    <w:p w14:paraId="2CE5EB3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Pr>
          <w:rFonts w:ascii="仿宋" w:eastAsia="仿宋" w:hAnsi="仿宋" w:cs="仿宋" w:hint="eastAsia"/>
          <w:sz w:val="24"/>
        </w:rPr>
        <w:t>收资金</w:t>
      </w:r>
      <w:proofErr w:type="gramEnd"/>
      <w:r>
        <w:rPr>
          <w:rFonts w:ascii="仿宋" w:eastAsia="仿宋" w:hAnsi="仿宋" w:cs="仿宋" w:hint="eastAsia"/>
          <w:sz w:val="24"/>
        </w:rPr>
        <w:t>等的收取按照中国证券登记结算有限责任公司的规定以及基金管理人与基金托管人签署的《托管银行证券资金结算协议》执行。</w:t>
      </w:r>
    </w:p>
    <w:p w14:paraId="0B7D2D0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 xml:space="preserve">5、账户注销时，在遵守中国证券登记结算公司的相关规定下，由管理人和托管人协商确认主要办理人。账户注销期间，主要办理人如需另一方提供配合的，另一方应予以配合。 </w:t>
      </w:r>
    </w:p>
    <w:p w14:paraId="5C34C75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6.若中国证监会或其他监管机构在本托管协议订立日之后允许基金从事其他投资品种的投资业务，涉及相关账户的开立、使用的，若无相关规定，</w:t>
      </w:r>
      <w:proofErr w:type="gramStart"/>
      <w:r>
        <w:rPr>
          <w:rFonts w:ascii="仿宋" w:eastAsia="仿宋" w:hAnsi="仿宋" w:cs="仿宋" w:hint="eastAsia"/>
          <w:sz w:val="24"/>
        </w:rPr>
        <w:t>则基金</w:t>
      </w:r>
      <w:proofErr w:type="gramEnd"/>
      <w:r>
        <w:rPr>
          <w:rFonts w:ascii="仿宋" w:eastAsia="仿宋" w:hAnsi="仿宋" w:cs="仿宋" w:hint="eastAsia"/>
          <w:sz w:val="24"/>
        </w:rPr>
        <w:t>托管人比照上述关于账户开立、使用的规定执行。</w:t>
      </w:r>
    </w:p>
    <w:p w14:paraId="6FD0737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（五）债券托管账户的开设和管理</w:t>
      </w:r>
    </w:p>
    <w:p w14:paraId="2AEA05F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6EF423C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（六）其他账户的开立和管理</w:t>
      </w:r>
    </w:p>
    <w:p w14:paraId="270C9E72"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A2754A8"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2.法律法规等有关规定对相关账户的开立和管理另有规定的，从其规定办理。</w:t>
      </w:r>
    </w:p>
    <w:p w14:paraId="41E77152"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（七）基金财产投资的有关有价凭证等的保管</w:t>
      </w:r>
    </w:p>
    <w:p w14:paraId="66F32AC8" w14:textId="77777777" w:rsidR="002E5B15" w:rsidRDefault="009C5419">
      <w:pPr>
        <w:adjustRightInd w:val="0"/>
        <w:snapToGrid w:val="0"/>
        <w:ind w:firstLineChars="200" w:firstLine="480"/>
        <w:rPr>
          <w:rFonts w:ascii="仿宋" w:eastAsia="仿宋" w:hAnsi="仿宋" w:cs="仿宋"/>
        </w:rPr>
      </w:pPr>
      <w:r>
        <w:rPr>
          <w:rFonts w:ascii="仿宋" w:eastAsia="仿宋" w:hAnsi="仿宋" w:cs="仿宋"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9BD2C4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（八）与基金财产有关的重大合同的保管</w:t>
      </w:r>
    </w:p>
    <w:p w14:paraId="095754D1" w14:textId="77777777" w:rsidR="002E5B15" w:rsidRDefault="009C5419">
      <w:pPr>
        <w:adjustRightInd w:val="0"/>
        <w:snapToGrid w:val="0"/>
        <w:ind w:firstLineChars="200" w:firstLine="480"/>
        <w:rPr>
          <w:rFonts w:ascii="仿宋" w:eastAsia="仿宋" w:hAnsi="仿宋" w:cs="仿宋"/>
          <w:sz w:val="30"/>
          <w:szCs w:val="30"/>
        </w:rPr>
      </w:pPr>
      <w:r>
        <w:rPr>
          <w:rFonts w:ascii="仿宋" w:eastAsia="仿宋" w:hAnsi="仿宋" w:cs="仿宋"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765D86ED" w14:textId="77777777" w:rsidR="002E5B15" w:rsidRDefault="002E5B15">
      <w:pPr>
        <w:rPr>
          <w:rFonts w:ascii="仿宋" w:eastAsia="仿宋" w:hAnsi="仿宋" w:cs="仿宋"/>
          <w:sz w:val="24"/>
        </w:rPr>
      </w:pPr>
    </w:p>
    <w:p w14:paraId="7D0E2A5B" w14:textId="77777777" w:rsidR="002E5B15" w:rsidRDefault="009C5419">
      <w:pPr>
        <w:pStyle w:val="2"/>
        <w:jc w:val="center"/>
        <w:rPr>
          <w:rFonts w:ascii="仿宋" w:eastAsia="仿宋" w:hAnsi="仿宋" w:cs="仿宋"/>
          <w:sz w:val="30"/>
        </w:rPr>
      </w:pPr>
      <w:bookmarkStart w:id="44" w:name="_Toc84133787"/>
      <w:bookmarkStart w:id="45" w:name="_Toc84234389"/>
      <w:bookmarkStart w:id="46" w:name="_Toc84234436"/>
      <w:bookmarkStart w:id="47" w:name="_Toc86204790"/>
      <w:bookmarkStart w:id="48" w:name="_Toc86223244"/>
      <w:bookmarkStart w:id="49" w:name="_Toc119402712"/>
      <w:bookmarkStart w:id="50" w:name="_Toc86225293"/>
      <w:bookmarkStart w:id="51" w:name="_Toc86737931"/>
      <w:bookmarkStart w:id="52" w:name="_Toc120435785"/>
      <w:bookmarkStart w:id="53" w:name="_Toc110830494"/>
      <w:bookmarkStart w:id="54" w:name="_Toc118212952"/>
      <w:bookmarkStart w:id="55" w:name="_Toc86726441"/>
      <w:bookmarkStart w:id="56" w:name="_Toc89163370"/>
      <w:bookmarkStart w:id="57" w:name="_Toc110765662"/>
      <w:bookmarkStart w:id="58" w:name="_Toc110761798"/>
      <w:bookmarkStart w:id="59" w:name="_Toc118972650"/>
      <w:bookmarkStart w:id="60" w:name="_Toc86649724"/>
      <w:bookmarkStart w:id="61" w:name="_Toc108512360"/>
      <w:bookmarkStart w:id="62" w:name="_Toc124325890"/>
      <w:bookmarkStart w:id="63" w:name="_Toc86727357"/>
      <w:bookmarkStart w:id="64" w:name="_Toc118774805"/>
      <w:r>
        <w:rPr>
          <w:rFonts w:ascii="仿宋" w:eastAsia="仿宋" w:hAnsi="仿宋" w:cs="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237BD36E"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基金管理人在运用基金财产时向基金托管人发送资金划拨及其他款项付款指令，基金托管人执行基金管理人的指令、办理基金名下的资金往来等有关事项。</w:t>
      </w:r>
    </w:p>
    <w:p w14:paraId="606AEBDD"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（一）基金管理人对发送指令人员的书面授权</w:t>
      </w:r>
    </w:p>
    <w:p w14:paraId="00E77360"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1.基金管理人应指定专人向基金托管人发送指令。</w:t>
      </w:r>
    </w:p>
    <w:p w14:paraId="4A41E78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2.基金管理人应向基金托管人提供书面授权文件，内容包括被授权人名单、预留印鉴及被授权人签字样本，授权文件应注明被授权人相应的权限。</w:t>
      </w:r>
    </w:p>
    <w:p w14:paraId="5D5C85C7"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3.基金托管人在收到授权文件原件并经电话确认后，授权文件即生效。如果授</w:t>
      </w:r>
      <w:r>
        <w:rPr>
          <w:rFonts w:ascii="仿宋" w:eastAsia="仿宋" w:hAnsi="仿宋" w:cs="仿宋" w:hint="eastAsia"/>
          <w:sz w:val="24"/>
        </w:rPr>
        <w:lastRenderedPageBreak/>
        <w:t>权文件中载明具体生效时间的，该生效时间不得早于基金托管人收到授权文件并经电话确认的时点。如早于，则以基金托管人收到授权文件并经电话确认的时点为授权文件的生效时间。</w:t>
      </w:r>
    </w:p>
    <w:p w14:paraId="41851722"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4.基金管理人和基金托管人对授权文件负有保密义务，其内容不得向被授权人及相关操作人员以外的任何人泄露。但法律法规规定或有权机关要求的除外。</w:t>
      </w:r>
    </w:p>
    <w:p w14:paraId="29D54626"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（二）指令的内容</w:t>
      </w:r>
    </w:p>
    <w:p w14:paraId="75F0EEA0"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1.指令包括付款指令以及其他资金划拨指令等。</w:t>
      </w:r>
    </w:p>
    <w:p w14:paraId="36FF73A0"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2.基金管理人发给基金托管人的指令应写明款项事由、支付时间、到账时间、金额、账户等，加盖预留印鉴并由被授权人签字。</w:t>
      </w:r>
    </w:p>
    <w:p w14:paraId="01039294"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（三）指令的发送、确认及执行的时间和程序</w:t>
      </w:r>
    </w:p>
    <w:p w14:paraId="011AD5E4"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1.指令的发送</w:t>
      </w:r>
    </w:p>
    <w:p w14:paraId="7D8C400D"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基金管理人发送指令应采用加密传真方式或双方协商一致的其他方式。</w:t>
      </w:r>
    </w:p>
    <w:p w14:paraId="08822F38"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055A1F49"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指令发出后，基金管理人应及时以电话方式向基金托管人确认。</w:t>
      </w:r>
    </w:p>
    <w:p w14:paraId="6D6EDFE0"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18F8298"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2.指令的确认</w:t>
      </w:r>
    </w:p>
    <w:p w14:paraId="0991E28E"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CAD1330"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3.指令的时间和执行</w:t>
      </w:r>
    </w:p>
    <w:p w14:paraId="56C5FBB7" w14:textId="77777777" w:rsidR="002E5B15" w:rsidRDefault="009C5419">
      <w:pPr>
        <w:pStyle w:val="a7"/>
        <w:spacing w:line="240" w:lineRule="auto"/>
        <w:ind w:firstLineChars="0"/>
        <w:rPr>
          <w:rFonts w:ascii="仿宋" w:eastAsia="仿宋" w:hAnsi="仿宋" w:cs="仿宋"/>
          <w:szCs w:val="24"/>
          <w:shd w:val="pct10" w:color="auto" w:fill="FFFFFF"/>
        </w:rPr>
      </w:pPr>
      <w:r>
        <w:rPr>
          <w:rFonts w:ascii="仿宋" w:eastAsia="仿宋" w:hAnsi="仿宋" w:cs="仿宋"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w:t>
      </w:r>
      <w:r>
        <w:rPr>
          <w:rFonts w:ascii="仿宋" w:eastAsia="仿宋" w:hAnsi="仿宋" w:cs="仿宋" w:hint="eastAsia"/>
        </w:rPr>
        <w:lastRenderedPageBreak/>
        <w:t>则指令需要提前2个工作小时发送，并且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Pr>
          <w:rFonts w:ascii="仿宋" w:eastAsia="仿宋" w:hAnsi="仿宋" w:cs="仿宋" w:hint="eastAsia"/>
          <w:szCs w:val="24"/>
        </w:rPr>
        <w:t>对于中国证券登记结算有限责任公司实行T+0非担保交收的业务，基金管理人应在交易日14：00</w:t>
      </w:r>
      <w:r>
        <w:rPr>
          <w:rFonts w:ascii="仿宋" w:eastAsia="仿宋" w:hAnsi="仿宋" w:cs="仿宋" w:hint="eastAsia"/>
        </w:rPr>
        <w:t>前</w:t>
      </w:r>
      <w:r>
        <w:rPr>
          <w:rFonts w:ascii="仿宋" w:eastAsia="仿宋" w:hAnsi="仿宋" w:cs="仿宋" w:hint="eastAsia"/>
          <w:szCs w:val="24"/>
        </w:rPr>
        <w:t>将划款指令发送至基金托管人。因基金管理人指令传输不及时，致使资金未能及时划入中登公司所造成的损失由基金管理人承担，包括赔偿在该市场引起其他托管客户交易失败、赔偿因占用</w:t>
      </w:r>
      <w:r>
        <w:rPr>
          <w:rFonts w:ascii="仿宋" w:eastAsia="仿宋" w:hAnsi="仿宋" w:cs="仿宋" w:hint="eastAsia"/>
        </w:rPr>
        <w:t>结算参与人</w:t>
      </w:r>
      <w:r>
        <w:rPr>
          <w:rFonts w:ascii="仿宋" w:eastAsia="仿宋" w:hAnsi="仿宋" w:cs="仿宋" w:hint="eastAsia"/>
          <w:szCs w:val="24"/>
        </w:rPr>
        <w:t>最低备付金带来的利息损失</w:t>
      </w:r>
      <w:r>
        <w:rPr>
          <w:rFonts w:ascii="仿宋" w:eastAsia="仿宋" w:hAnsi="仿宋" w:cs="仿宋" w:hint="eastAsia"/>
        </w:rPr>
        <w:t>。</w:t>
      </w:r>
      <w:r>
        <w:rPr>
          <w:rFonts w:ascii="仿宋" w:eastAsia="仿宋" w:hAnsi="仿宋" w:cs="仿宋" w:hint="eastAsia"/>
          <w:szCs w:val="24"/>
        </w:rPr>
        <w:t>基金管理人应确保基金托管人在执行指令时，基金资金账户有足够的资金余额，</w:t>
      </w:r>
      <w:r>
        <w:rPr>
          <w:rFonts w:ascii="仿宋" w:eastAsia="仿宋" w:hAnsi="仿宋" w:cs="仿宋" w:hint="eastAsia"/>
        </w:rPr>
        <w:t>在基金资金头寸充足的情况下，基金托管人对基金管理人符合法律法规、《基金合同》、本协议的指令不得拖延或拒绝执行。</w:t>
      </w:r>
    </w:p>
    <w:p w14:paraId="04568F2C" w14:textId="77777777" w:rsidR="002E5B15" w:rsidRDefault="009C5419">
      <w:pPr>
        <w:pStyle w:val="a7"/>
        <w:spacing w:line="240" w:lineRule="auto"/>
        <w:ind w:firstLineChars="0"/>
        <w:rPr>
          <w:rFonts w:ascii="仿宋" w:eastAsia="仿宋" w:hAnsi="仿宋" w:cs="仿宋"/>
        </w:rPr>
      </w:pPr>
      <w:r>
        <w:rPr>
          <w:rFonts w:ascii="仿宋" w:eastAsia="仿宋" w:hAnsi="仿宋" w:cs="仿宋" w:hint="eastAsia"/>
        </w:rPr>
        <w:t>（四）基金管理人发送错误指令的情形和处理程序</w:t>
      </w:r>
    </w:p>
    <w:p w14:paraId="07BF4FD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基金管理人发送错误指令的情形包括指令违反法律法规和《基金合同》，指令发送人员无权或超越权限发送指令。</w:t>
      </w:r>
    </w:p>
    <w:p w14:paraId="5166E88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基金托管人在履行监督职能时，发现基金管理人的指令错误时，有权拒绝执行，并及时通知基金管理人改正。如需撤销指令，基金管理人应出具书面说明，并加盖业务用章。</w:t>
      </w:r>
    </w:p>
    <w:p w14:paraId="73F3AC2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（五）基金托管人依照法律法规暂缓、拒绝执行指令的情形和处理程序</w:t>
      </w:r>
    </w:p>
    <w:p w14:paraId="662052F2" w14:textId="77777777" w:rsidR="002E5B15" w:rsidRDefault="009C5419">
      <w:pPr>
        <w:adjustRightInd w:val="0"/>
        <w:snapToGrid w:val="0"/>
        <w:ind w:firstLine="480"/>
        <w:rPr>
          <w:rFonts w:ascii="仿宋" w:eastAsia="仿宋" w:hAnsi="仿宋" w:cs="仿宋"/>
          <w:sz w:val="24"/>
        </w:rPr>
      </w:pPr>
      <w:proofErr w:type="gramStart"/>
      <w:r>
        <w:rPr>
          <w:rFonts w:ascii="仿宋" w:eastAsia="仿宋" w:hAnsi="仿宋" w:cs="仿宋" w:hint="eastAsia"/>
          <w:sz w:val="24"/>
        </w:rPr>
        <w:t>若基金</w:t>
      </w:r>
      <w:proofErr w:type="gramEnd"/>
      <w:r>
        <w:rPr>
          <w:rFonts w:ascii="仿宋" w:eastAsia="仿宋" w:hAnsi="仿宋" w:cs="仿宋" w:hint="eastAsia"/>
          <w:sz w:val="24"/>
        </w:rPr>
        <w:t>托管人发现基金管理人的指令违反法律法规，或者违反《基金合同》约定的，应当拒绝执行，立即通知基金管理人。</w:t>
      </w:r>
    </w:p>
    <w:p w14:paraId="011AF4A5"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（六）基金托管人未按照基金管理人指令执行的处理方法</w:t>
      </w:r>
    </w:p>
    <w:p w14:paraId="0228128C"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基金托管人由于过错，未按照基金管理人发送的指令执行并对基金财产或投资人造成的直接损失，由基金托管人赔偿由此造成的直接损失。</w:t>
      </w:r>
    </w:p>
    <w:p w14:paraId="565C259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（七）更换被授权人的程序</w:t>
      </w:r>
    </w:p>
    <w:p w14:paraId="281B78BF"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管理人更换被授权人、更改或终止对被授权人的授权，应立即将新的授权文件以传真方式或双方约定的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Pr>
          <w:rFonts w:ascii="仿宋" w:eastAsia="仿宋" w:hAnsi="仿宋" w:cs="仿宋" w:hint="eastAsia"/>
          <w:sz w:val="24"/>
        </w:rPr>
        <w:t>件内容</w:t>
      </w:r>
      <w:proofErr w:type="gramEnd"/>
      <w:r>
        <w:rPr>
          <w:rFonts w:ascii="仿宋" w:eastAsia="仿宋" w:hAnsi="仿宋" w:cs="仿宋" w:hint="eastAsia"/>
          <w:sz w:val="24"/>
        </w:rPr>
        <w:t>执行有关业务，如果新的授权文件正本与传真</w:t>
      </w:r>
      <w:proofErr w:type="gramStart"/>
      <w:r>
        <w:rPr>
          <w:rFonts w:ascii="仿宋" w:eastAsia="仿宋" w:hAnsi="仿宋" w:cs="仿宋" w:hint="eastAsia"/>
          <w:sz w:val="24"/>
        </w:rPr>
        <w:t>件内容</w:t>
      </w:r>
      <w:proofErr w:type="gramEnd"/>
      <w:r>
        <w:rPr>
          <w:rFonts w:ascii="仿宋" w:eastAsia="仿宋" w:hAnsi="仿宋" w:cs="仿宋" w:hint="eastAsia"/>
          <w:sz w:val="24"/>
        </w:rPr>
        <w:t>不同，由此产生的责任由基金管理人承担。基金托管人更换接收基金管理人指令的人员，应提前通过录音电话通知基金管理人。</w:t>
      </w:r>
    </w:p>
    <w:p w14:paraId="40F402E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（八）其他事项</w:t>
      </w:r>
    </w:p>
    <w:p w14:paraId="6C20A871"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基金托管人在接收指令时，应对指令的要素是否齐全、印鉴与被授权人是否与预留的授权文件内容相符进行检查，如发现问题，应及时报告基金管理人，基金托</w:t>
      </w:r>
      <w:r>
        <w:rPr>
          <w:rFonts w:ascii="仿宋" w:eastAsia="仿宋" w:hAnsi="仿宋" w:cs="仿宋" w:hint="eastAsia"/>
          <w:sz w:val="24"/>
        </w:rPr>
        <w:lastRenderedPageBreak/>
        <w:t>管人对执行基金管理人的合法指令对基金财产造成的损失不承担赔偿责任。</w:t>
      </w:r>
    </w:p>
    <w:p w14:paraId="3BEAE44C"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基金参与认购未上市债券时，基金管理人应代表本基金与对手方签署相关合同或协议，明确约定债券过户具体事宜。否则，基金管理人需对所认购债券的过户事宜承担相应责任。</w:t>
      </w:r>
    </w:p>
    <w:p w14:paraId="3D450B28" w14:textId="77777777" w:rsidR="002E5B15" w:rsidRDefault="002E5B15">
      <w:pPr>
        <w:adjustRightInd w:val="0"/>
        <w:snapToGrid w:val="0"/>
        <w:rPr>
          <w:rFonts w:ascii="仿宋" w:eastAsia="仿宋" w:hAnsi="仿宋" w:cs="仿宋"/>
          <w:sz w:val="24"/>
        </w:rPr>
      </w:pPr>
    </w:p>
    <w:p w14:paraId="1CC9C551" w14:textId="77777777" w:rsidR="002E5B15" w:rsidRDefault="009C5419">
      <w:pPr>
        <w:pStyle w:val="2"/>
        <w:jc w:val="center"/>
        <w:rPr>
          <w:rFonts w:ascii="仿宋" w:eastAsia="仿宋" w:hAnsi="仿宋" w:cs="仿宋"/>
          <w:sz w:val="30"/>
        </w:rPr>
      </w:pPr>
      <w:bookmarkStart w:id="65" w:name="_Toc108512361"/>
      <w:bookmarkStart w:id="66" w:name="_Toc86727358"/>
      <w:bookmarkStart w:id="67" w:name="_Toc110765663"/>
      <w:bookmarkStart w:id="68" w:name="_Toc110830495"/>
      <w:bookmarkStart w:id="69" w:name="_Toc118212953"/>
      <w:bookmarkStart w:id="70" w:name="_Toc118972651"/>
      <w:bookmarkStart w:id="71" w:name="_Toc119402713"/>
      <w:bookmarkStart w:id="72" w:name="_Toc84234390"/>
      <w:bookmarkStart w:id="73" w:name="_Toc84234437"/>
      <w:bookmarkStart w:id="74" w:name="_Toc120435786"/>
      <w:bookmarkStart w:id="75" w:name="_Toc124325891"/>
      <w:bookmarkStart w:id="76" w:name="_Toc86726442"/>
      <w:bookmarkStart w:id="77" w:name="_Toc86737932"/>
      <w:bookmarkStart w:id="78" w:name="_Toc89163371"/>
      <w:bookmarkStart w:id="79" w:name="_Toc118774806"/>
      <w:bookmarkStart w:id="80" w:name="_Toc86649725"/>
      <w:bookmarkStart w:id="81" w:name="_Toc110761799"/>
      <w:bookmarkStart w:id="82" w:name="_Toc84133788"/>
      <w:bookmarkStart w:id="83" w:name="_Toc86204791"/>
      <w:bookmarkStart w:id="84" w:name="_Toc86223245"/>
      <w:bookmarkStart w:id="85" w:name="_Toc86225294"/>
      <w:r>
        <w:rPr>
          <w:rFonts w:ascii="仿宋" w:eastAsia="仿宋" w:hAnsi="仿宋" w:cs="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03A3685B"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（一）选择证券、期货买卖的证券、期货经营机构</w:t>
      </w:r>
    </w:p>
    <w:p w14:paraId="2EE719D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应设计选择证券买卖的证券经营机构的标准和程序。基金管理人负责选择证券经营机构，租用其交易单元作为基金的专用交易单元。基金管理人和被选中的证券经营机构签订交易单元租用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72D6279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本基金在开始进行股指期货投资之前，应与基金托管人、期货公司三方</w:t>
      </w:r>
      <w:proofErr w:type="gramStart"/>
      <w:r>
        <w:rPr>
          <w:rFonts w:ascii="仿宋" w:eastAsia="仿宋" w:hAnsi="仿宋" w:cs="仿宋" w:hint="eastAsia"/>
          <w:sz w:val="24"/>
        </w:rPr>
        <w:t>一同就</w:t>
      </w:r>
      <w:proofErr w:type="gramEnd"/>
      <w:r>
        <w:rPr>
          <w:rFonts w:ascii="仿宋" w:eastAsia="仿宋" w:hAnsi="仿宋" w:cs="仿宋" w:hint="eastAsia"/>
          <w:sz w:val="24"/>
        </w:rPr>
        <w:t>股指期货开户、清算、估值、交收等事宜另行签署协议《期货投资托管操作三方备忘录》 。</w:t>
      </w:r>
    </w:p>
    <w:p w14:paraId="1CB99C5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参加期权交易前，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17AF1FA7"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（二）基金投资证券后的清算交收安排</w:t>
      </w:r>
    </w:p>
    <w:p w14:paraId="345E1B0B"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1.清算与交割</w:t>
      </w:r>
    </w:p>
    <w:p w14:paraId="19403284"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基金管理人与基金托管人应根据有关法律法规及相关业务规则，签订</w:t>
      </w:r>
      <w:proofErr w:type="gramStart"/>
      <w:r>
        <w:rPr>
          <w:rFonts w:ascii="仿宋" w:eastAsia="仿宋" w:hAnsi="仿宋" w:cs="仿宋" w:hint="eastAsia"/>
          <w:sz w:val="24"/>
        </w:rPr>
        <w:t>《</w:t>
      </w:r>
      <w:proofErr w:type="gramEnd"/>
      <w:r>
        <w:rPr>
          <w:rFonts w:ascii="仿宋" w:eastAsia="仿宋" w:hAnsi="仿宋" w:cs="仿宋" w:hint="eastAsia"/>
          <w:sz w:val="24"/>
        </w:rPr>
        <w:t>托管</w:t>
      </w:r>
    </w:p>
    <w:p w14:paraId="4EDEAA4C" w14:textId="77777777" w:rsidR="002E5B15" w:rsidRDefault="009C5419">
      <w:pPr>
        <w:adjustRightInd w:val="0"/>
        <w:snapToGrid w:val="0"/>
        <w:rPr>
          <w:rFonts w:ascii="仿宋" w:eastAsia="仿宋" w:hAnsi="仿宋" w:cs="仿宋"/>
          <w:sz w:val="24"/>
        </w:rPr>
      </w:pPr>
      <w:r>
        <w:rPr>
          <w:rFonts w:ascii="仿宋" w:eastAsia="仿宋" w:hAnsi="仿宋" w:cs="仿宋" w:hint="eastAsia"/>
          <w:sz w:val="24"/>
        </w:rPr>
        <w:t>银行证券资金结算协议</w:t>
      </w:r>
      <w:proofErr w:type="gramStart"/>
      <w:r>
        <w:rPr>
          <w:rFonts w:ascii="仿宋" w:eastAsia="仿宋" w:hAnsi="仿宋" w:cs="仿宋" w:hint="eastAsia"/>
          <w:sz w:val="24"/>
        </w:rPr>
        <w:t>》</w:t>
      </w:r>
      <w:proofErr w:type="gramEnd"/>
      <w:r>
        <w:rPr>
          <w:rFonts w:ascii="仿宋" w:eastAsia="仿宋" w:hAnsi="仿宋" w:cs="仿宋" w:hint="eastAsia"/>
          <w:sz w:val="24"/>
        </w:rPr>
        <w:t>，如投资港股通，还需签订《证券投资基金港股通结算补充协议》，用以具体明确基金管理人与基金托管人在证券交易资金结算业务中的责任。</w:t>
      </w:r>
    </w:p>
    <w:p w14:paraId="4F38163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根据中国证券登记结算有限责任公司规定，在每月前3个工作日内，中国证券登记结算有限责任公司对结算参与人的最低结算备付金、结算保证金限额进行</w:t>
      </w:r>
      <w:r>
        <w:rPr>
          <w:rFonts w:ascii="仿宋" w:eastAsia="仿宋" w:hAnsi="仿宋" w:cs="仿宋"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5B98923"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29CEC3EE"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Pr>
          <w:rFonts w:ascii="仿宋" w:eastAsia="仿宋" w:hAnsi="仿宋" w:cs="仿宋" w:hint="eastAsia"/>
          <w:sz w:val="24"/>
        </w:rPr>
        <w:t>券</w:t>
      </w:r>
      <w:proofErr w:type="gramEnd"/>
      <w:r>
        <w:rPr>
          <w:rFonts w:ascii="仿宋" w:eastAsia="仿宋" w:hAnsi="仿宋" w:cs="仿宋" w:hint="eastAsia"/>
          <w:sz w:val="24"/>
        </w:rPr>
        <w:t>欠库等原因造成基金投资清算困难和风险的，基金托管人在预清算结束后应通知基金管理人预透支和预欠库事项，基金管理人应保持联系方式畅通，后续补缴等事宜由此给基金托管人、本基金和基金托管人托管的其他资产造成的直接损失由基金管理人承担。</w:t>
      </w:r>
    </w:p>
    <w:p w14:paraId="7C3F4E7C" w14:textId="77777777" w:rsidR="002E5B15" w:rsidRDefault="009C5419">
      <w:pPr>
        <w:adjustRightInd w:val="0"/>
        <w:snapToGrid w:val="0"/>
        <w:ind w:firstLine="480"/>
        <w:rPr>
          <w:rFonts w:ascii="仿宋" w:eastAsia="仿宋" w:hAnsi="仿宋" w:cs="仿宋"/>
          <w:color w:val="000000"/>
          <w:kern w:val="0"/>
          <w:sz w:val="24"/>
        </w:rPr>
      </w:pPr>
      <w:r>
        <w:rPr>
          <w:rFonts w:ascii="仿宋" w:eastAsia="仿宋" w:hAnsi="仿宋" w:cs="仿宋" w:hint="eastAsia"/>
          <w:color w:val="000000"/>
          <w:kern w:val="0"/>
          <w:sz w:val="24"/>
        </w:rPr>
        <w:t>基金管理人应采取合理、必要措施，确保T日日终有足够的资金头寸完成 T+1日</w:t>
      </w:r>
      <w:r>
        <w:rPr>
          <w:rFonts w:ascii="仿宋" w:eastAsia="仿宋" w:hAnsi="仿宋" w:cs="仿宋" w:hint="eastAsia"/>
          <w:sz w:val="24"/>
        </w:rPr>
        <w:t>中国证券登记结算有限责任公司的资金</w:t>
      </w:r>
      <w:r>
        <w:rPr>
          <w:rFonts w:ascii="仿宋" w:eastAsia="仿宋" w:hAnsi="仿宋" w:cs="仿宋" w:hint="eastAsia"/>
          <w:color w:val="000000"/>
          <w:kern w:val="0"/>
          <w:sz w:val="24"/>
        </w:rPr>
        <w:t>交收；如因基金管理</w:t>
      </w:r>
      <w:proofErr w:type="gramStart"/>
      <w:r>
        <w:rPr>
          <w:rFonts w:ascii="仿宋" w:eastAsia="仿宋" w:hAnsi="仿宋" w:cs="仿宋" w:hint="eastAsia"/>
          <w:color w:val="000000"/>
          <w:kern w:val="0"/>
          <w:sz w:val="24"/>
        </w:rPr>
        <w:t>人原因</w:t>
      </w:r>
      <w:proofErr w:type="gramEnd"/>
      <w:r>
        <w:rPr>
          <w:rFonts w:ascii="仿宋" w:eastAsia="仿宋" w:hAnsi="仿宋" w:cs="仿宋" w:hint="eastAsia"/>
          <w:color w:val="000000"/>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3B2E0C3"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color w:val="000000"/>
          <w:kern w:val="0"/>
          <w:sz w:val="24"/>
        </w:rPr>
        <w:t>根据中国证券登记结算有限责任公司结算规定，基金管理人在进行融资回购业务时，用于融资回购的债券将作为偿还融资回购到期购回款的质押</w:t>
      </w:r>
      <w:proofErr w:type="gramStart"/>
      <w:r>
        <w:rPr>
          <w:rFonts w:ascii="仿宋" w:eastAsia="仿宋" w:hAnsi="仿宋" w:cs="仿宋" w:hint="eastAsia"/>
          <w:color w:val="000000"/>
          <w:kern w:val="0"/>
          <w:sz w:val="24"/>
        </w:rPr>
        <w:t>券</w:t>
      </w:r>
      <w:proofErr w:type="gramEnd"/>
      <w:r>
        <w:rPr>
          <w:rFonts w:ascii="仿宋" w:eastAsia="仿宋" w:hAnsi="仿宋" w:cs="仿宋" w:hint="eastAsia"/>
          <w:color w:val="000000"/>
          <w:kern w:val="0"/>
          <w:sz w:val="24"/>
        </w:rPr>
        <w:t>。如因基金管理</w:t>
      </w:r>
      <w:proofErr w:type="gramStart"/>
      <w:r>
        <w:rPr>
          <w:rFonts w:ascii="仿宋" w:eastAsia="仿宋" w:hAnsi="仿宋" w:cs="仿宋" w:hint="eastAsia"/>
          <w:color w:val="000000"/>
          <w:kern w:val="0"/>
          <w:sz w:val="24"/>
        </w:rPr>
        <w:t>人原因</w:t>
      </w:r>
      <w:proofErr w:type="gramEnd"/>
      <w:r>
        <w:rPr>
          <w:rFonts w:ascii="仿宋" w:eastAsia="仿宋" w:hAnsi="仿宋" w:cs="仿宋" w:hint="eastAsia"/>
          <w:color w:val="000000"/>
          <w:kern w:val="0"/>
          <w:sz w:val="24"/>
        </w:rPr>
        <w:t>造成债券回购交收违约或因折算率变化造成质押欠库，导致中国证券登记结算有限责任公司欠库扣款或对质押</w:t>
      </w:r>
      <w:proofErr w:type="gramStart"/>
      <w:r>
        <w:rPr>
          <w:rFonts w:ascii="仿宋" w:eastAsia="仿宋" w:hAnsi="仿宋" w:cs="仿宋" w:hint="eastAsia"/>
          <w:color w:val="000000"/>
          <w:kern w:val="0"/>
          <w:sz w:val="24"/>
        </w:rPr>
        <w:t>券</w:t>
      </w:r>
      <w:proofErr w:type="gramEnd"/>
      <w:r>
        <w:rPr>
          <w:rFonts w:ascii="仿宋" w:eastAsia="仿宋" w:hAnsi="仿宋" w:cs="仿宋" w:hint="eastAsia"/>
          <w:color w:val="000000"/>
          <w:kern w:val="0"/>
          <w:sz w:val="24"/>
        </w:rPr>
        <w:t>进行处置造成的投资风险和损失由基金管理人承担。</w:t>
      </w:r>
    </w:p>
    <w:p w14:paraId="20655A1B"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实行场内T+0交收的资金清算按照基金托管人的相关规定流程执行。</w:t>
      </w:r>
    </w:p>
    <w:p w14:paraId="6B3E794D"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2.交易记录、资金和证券账目核对的时间和方式</w:t>
      </w:r>
    </w:p>
    <w:p w14:paraId="56C0615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（1）交易记录的核对</w:t>
      </w:r>
    </w:p>
    <w:p w14:paraId="2D63A69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kern w:val="0"/>
          <w:sz w:val="24"/>
        </w:rPr>
        <w:t>基金管理人按日进行交易记录的核对。对外披露净值之前，必须保证当天所有实际交易记录与基金会计账簿上的交易记录完全一致。如果实际交易记录与会计</w:t>
      </w:r>
      <w:r>
        <w:rPr>
          <w:rFonts w:ascii="仿宋" w:eastAsia="仿宋" w:hAnsi="仿宋" w:cs="仿宋" w:hint="eastAsia"/>
          <w:kern w:val="0"/>
          <w:sz w:val="24"/>
        </w:rPr>
        <w:lastRenderedPageBreak/>
        <w:t>账簿记录不一致，造成基金会计核算不完整或不真实，由此导致的损失由基金管理人承担。</w:t>
      </w:r>
    </w:p>
    <w:p w14:paraId="62F9DF97"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（2）资金账目的核对</w:t>
      </w:r>
    </w:p>
    <w:p w14:paraId="270398AC"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资金账目按日核实。</w:t>
      </w:r>
    </w:p>
    <w:p w14:paraId="5004B8C7"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（3）证券账目的核对</w:t>
      </w:r>
    </w:p>
    <w:p w14:paraId="6031904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基金管理人和基金托管人每交易日结束后核对基金证券账目，确保双方账目相符。基金管理人和基金托管人每月月末核对实物证券账目。</w:t>
      </w:r>
    </w:p>
    <w:p w14:paraId="68788912" w14:textId="77777777" w:rsidR="002E5B15" w:rsidRDefault="009C5419">
      <w:pPr>
        <w:adjustRightInd w:val="0"/>
        <w:snapToGrid w:val="0"/>
        <w:ind w:firstLine="480"/>
        <w:outlineLvl w:val="0"/>
        <w:rPr>
          <w:rFonts w:ascii="仿宋" w:eastAsia="仿宋" w:hAnsi="仿宋" w:cs="仿宋"/>
          <w:sz w:val="24"/>
        </w:rPr>
      </w:pPr>
      <w:r>
        <w:rPr>
          <w:rFonts w:ascii="仿宋" w:eastAsia="仿宋" w:hAnsi="仿宋" w:cs="仿宋" w:hint="eastAsia"/>
          <w:sz w:val="24"/>
        </w:rPr>
        <w:t>（三）基金申购和赎回业务处理的基本规定</w:t>
      </w:r>
    </w:p>
    <w:p w14:paraId="732F67DB"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1.基金份额申购、赎回的确认、清算由基金管理人或其委托的登记机构负责。</w:t>
      </w:r>
    </w:p>
    <w:p w14:paraId="7CB0211C"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BF32663"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3.基金管理人应保证本基金（或本基金管理人委托）的登记机构每个工作日15:00前向基金托管人发送前一开放</w:t>
      </w:r>
      <w:proofErr w:type="gramStart"/>
      <w:r>
        <w:rPr>
          <w:rFonts w:ascii="仿宋" w:eastAsia="仿宋" w:hAnsi="仿宋" w:cs="仿宋" w:hint="eastAsia"/>
          <w:sz w:val="24"/>
        </w:rPr>
        <w:t>日上述</w:t>
      </w:r>
      <w:proofErr w:type="gramEnd"/>
      <w:r>
        <w:rPr>
          <w:rFonts w:ascii="仿宋" w:eastAsia="仿宋" w:hAnsi="仿宋" w:cs="仿宋" w:hint="eastAsia"/>
          <w:sz w:val="24"/>
        </w:rPr>
        <w:t>有关数据，并保证相关数据的准确、完整。</w:t>
      </w:r>
    </w:p>
    <w:p w14:paraId="0A145725"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4.登记机构应通过与基金托管人建立的系统发送有关数据(包括电子数据和盖章生效的纸制清算汇总表)，如因各种原因，该系统无法正常发送，双方可协商解决处理方式。基金管理人向基金托管人发送的数据，双方各自按有关规定保存。</w:t>
      </w:r>
    </w:p>
    <w:p w14:paraId="495FDC3D"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5.如基金管理人委托其他机构办理本基金的登记业务，应保证上述相关事宜按时进行。否则，由基金管理人承担相应的责任。</w:t>
      </w:r>
    </w:p>
    <w:p w14:paraId="7D90FA08"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6.关于清算专用账户的设立和管理</w:t>
      </w:r>
    </w:p>
    <w:p w14:paraId="3DD4F7FF"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为满足申购、赎回及分红资金汇划的需要，由基金管理人开立资金清算的专用账户，该账户由登记机构管理。</w:t>
      </w:r>
    </w:p>
    <w:p w14:paraId="2E3ACB7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09CD8FF"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8.赎回和分红资金划拨规定</w:t>
      </w:r>
    </w:p>
    <w:p w14:paraId="3C3D61AA"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拨付</w:t>
      </w:r>
      <w:proofErr w:type="gramStart"/>
      <w:r>
        <w:rPr>
          <w:rFonts w:ascii="仿宋" w:eastAsia="仿宋" w:hAnsi="仿宋" w:cs="仿宋" w:hint="eastAsia"/>
          <w:sz w:val="24"/>
        </w:rPr>
        <w:t>赎回款</w:t>
      </w:r>
      <w:proofErr w:type="gramEnd"/>
      <w:r>
        <w:rPr>
          <w:rFonts w:ascii="仿宋" w:eastAsia="仿宋" w:hAnsi="仿宋" w:cs="仿宋" w:hint="eastAsia"/>
          <w:sz w:val="24"/>
        </w:rPr>
        <w:t>或进行基金分红时，如基金资金账户有足够的资金，基金托管人应按时拨付；因基金资金账户没有足够的资金，导致基金托管人不能按时拨付，如</w:t>
      </w:r>
      <w:proofErr w:type="gramStart"/>
      <w:r>
        <w:rPr>
          <w:rFonts w:ascii="仿宋" w:eastAsia="仿宋" w:hAnsi="仿宋" w:cs="仿宋" w:hint="eastAsia"/>
          <w:sz w:val="24"/>
        </w:rPr>
        <w:t>系基金</w:t>
      </w:r>
      <w:proofErr w:type="gramEnd"/>
      <w:r>
        <w:rPr>
          <w:rFonts w:ascii="仿宋" w:eastAsia="仿宋" w:hAnsi="仿宋" w:cs="仿宋" w:hint="eastAsia"/>
          <w:sz w:val="24"/>
        </w:rPr>
        <w:t>管理人的原因造成，责任由基金管理人承担，基金托管人不承担垫款义务。</w:t>
      </w:r>
    </w:p>
    <w:p w14:paraId="19D884FC"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9.资金指令</w:t>
      </w:r>
    </w:p>
    <w:p w14:paraId="2272834D"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lastRenderedPageBreak/>
        <w:t>除申购款项到达基金资金账户需双方按约定方式对账外，回购到期付款和与投资有关的付款、赎回和分红资金划拨时，基金管理人需向基金托管人下达指令。</w:t>
      </w:r>
    </w:p>
    <w:p w14:paraId="1E23ECF4"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资金指令的格式、内容、发送、接收和确认方式等与投资指令相同。</w:t>
      </w:r>
    </w:p>
    <w:p w14:paraId="63460728"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（四）</w:t>
      </w:r>
      <w:proofErr w:type="gramStart"/>
      <w:r>
        <w:rPr>
          <w:rFonts w:ascii="仿宋" w:eastAsia="仿宋" w:hAnsi="仿宋" w:cs="仿宋" w:hint="eastAsia"/>
          <w:sz w:val="24"/>
        </w:rPr>
        <w:t>申赎净额</w:t>
      </w:r>
      <w:proofErr w:type="gramEnd"/>
      <w:r>
        <w:rPr>
          <w:rFonts w:ascii="仿宋" w:eastAsia="仿宋" w:hAnsi="仿宋" w:cs="仿宋" w:hint="eastAsia"/>
          <w:sz w:val="24"/>
        </w:rPr>
        <w:t>结算</w:t>
      </w:r>
    </w:p>
    <w:p w14:paraId="108D846B" w14:textId="77777777" w:rsidR="002E5B15" w:rsidRDefault="009C5419">
      <w:pPr>
        <w:adjustRightInd w:val="0"/>
        <w:snapToGrid w:val="0"/>
        <w:ind w:firstLine="480"/>
        <w:rPr>
          <w:rFonts w:ascii="仿宋" w:eastAsia="仿宋" w:hAnsi="仿宋" w:cs="仿宋"/>
          <w:i/>
          <w:sz w:val="24"/>
        </w:rPr>
      </w:pPr>
      <w:r>
        <w:rPr>
          <w:rFonts w:ascii="仿宋" w:eastAsia="仿宋" w:hAnsi="仿宋" w:cs="仿宋" w:hint="eastAsia"/>
          <w:sz w:val="24"/>
        </w:rPr>
        <w:t>基金托管账户与“基金清算账户”间的资金结算遵循“全额清算、净额交收”的原则，每日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日10:00前将划款指令发送给基金托管人，基金托管人按基金管理人的划款指令将托管账户净应付额在T日15:00之前</w:t>
      </w:r>
      <w:proofErr w:type="gramStart"/>
      <w:r>
        <w:rPr>
          <w:rFonts w:ascii="仿宋" w:eastAsia="仿宋" w:hAnsi="仿宋" w:cs="仿宋" w:hint="eastAsia"/>
          <w:sz w:val="24"/>
        </w:rPr>
        <w:t>划往基金</w:t>
      </w:r>
      <w:proofErr w:type="gramEnd"/>
      <w:r>
        <w:rPr>
          <w:rFonts w:ascii="仿宋" w:eastAsia="仿宋" w:hAnsi="仿宋" w:cs="仿宋" w:hint="eastAsia"/>
          <w:sz w:val="24"/>
        </w:rPr>
        <w:t>清算账户。</w:t>
      </w:r>
    </w:p>
    <w:p w14:paraId="201DAC27" w14:textId="77777777" w:rsidR="002E5B15" w:rsidRDefault="009C5419">
      <w:pPr>
        <w:adjustRightInd w:val="0"/>
        <w:snapToGrid w:val="0"/>
        <w:ind w:firstLine="480"/>
        <w:outlineLvl w:val="0"/>
        <w:rPr>
          <w:rFonts w:ascii="仿宋" w:eastAsia="仿宋" w:hAnsi="仿宋" w:cs="仿宋"/>
          <w:sz w:val="24"/>
        </w:rPr>
      </w:pPr>
      <w:r>
        <w:rPr>
          <w:rFonts w:ascii="仿宋" w:eastAsia="仿宋" w:hAnsi="仿宋" w:cs="仿宋" w:hint="eastAsia"/>
          <w:sz w:val="24"/>
        </w:rPr>
        <w:t>（五）基金转换</w:t>
      </w:r>
    </w:p>
    <w:p w14:paraId="2D621F3F"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1.在本基金与基金管理人管理的其它基金开展转换业务之前，基金管理人应函告基金托管人并就相关事宜进行协商。</w:t>
      </w:r>
    </w:p>
    <w:p w14:paraId="28558DE1" w14:textId="77777777" w:rsidR="002E5B15" w:rsidRDefault="009C5419">
      <w:pPr>
        <w:adjustRightInd w:val="0"/>
        <w:snapToGrid w:val="0"/>
        <w:ind w:firstLine="480"/>
        <w:outlineLvl w:val="0"/>
        <w:rPr>
          <w:rFonts w:ascii="仿宋" w:eastAsia="仿宋" w:hAnsi="仿宋" w:cs="仿宋"/>
          <w:sz w:val="24"/>
        </w:rPr>
      </w:pPr>
      <w:r>
        <w:rPr>
          <w:rFonts w:ascii="仿宋" w:eastAsia="仿宋" w:hAnsi="仿宋" w:cs="仿宋" w:hint="eastAsia"/>
          <w:sz w:val="24"/>
        </w:rPr>
        <w:t>2.基金托管人将根据基金管理人传送的基金转换数据进行账务处理，</w:t>
      </w:r>
      <w:proofErr w:type="gramStart"/>
      <w:r>
        <w:rPr>
          <w:rFonts w:ascii="仿宋" w:eastAsia="仿宋" w:hAnsi="仿宋" w:cs="仿宋" w:hint="eastAsia"/>
          <w:sz w:val="24"/>
        </w:rPr>
        <w:t>具体资金</w:t>
      </w:r>
      <w:proofErr w:type="gramEnd"/>
      <w:r>
        <w:rPr>
          <w:rFonts w:ascii="仿宋" w:eastAsia="仿宋" w:hAnsi="仿宋" w:cs="仿宋" w:hint="eastAsia"/>
          <w:sz w:val="24"/>
        </w:rPr>
        <w:t>清算和数据传递的时间、程序及托管协议当事人承担的权责按基金管理人届时的公告执行。</w:t>
      </w:r>
    </w:p>
    <w:p w14:paraId="7530A9FB" w14:textId="77777777" w:rsidR="002E5B15" w:rsidRDefault="009C5419">
      <w:pPr>
        <w:adjustRightInd w:val="0"/>
        <w:snapToGrid w:val="0"/>
        <w:ind w:firstLine="480"/>
        <w:outlineLvl w:val="0"/>
        <w:rPr>
          <w:rFonts w:ascii="仿宋" w:eastAsia="仿宋" w:hAnsi="仿宋" w:cs="仿宋"/>
          <w:sz w:val="24"/>
        </w:rPr>
      </w:pPr>
      <w:r>
        <w:rPr>
          <w:rFonts w:ascii="仿宋" w:eastAsia="仿宋" w:hAnsi="仿宋" w:cs="仿宋" w:hint="eastAsia"/>
          <w:sz w:val="24"/>
        </w:rPr>
        <w:t>3.本基金开展基金转换业务应按相关法律法规规定及《基金合同》的约定进行公告。</w:t>
      </w:r>
    </w:p>
    <w:p w14:paraId="66F5F9B1" w14:textId="77777777" w:rsidR="002E5B15" w:rsidRDefault="009C5419">
      <w:pPr>
        <w:adjustRightInd w:val="0"/>
        <w:snapToGrid w:val="0"/>
        <w:ind w:firstLine="480"/>
        <w:outlineLvl w:val="0"/>
        <w:rPr>
          <w:rFonts w:ascii="仿宋" w:eastAsia="仿宋" w:hAnsi="仿宋" w:cs="仿宋"/>
          <w:sz w:val="24"/>
        </w:rPr>
      </w:pPr>
      <w:r>
        <w:rPr>
          <w:rFonts w:ascii="仿宋" w:eastAsia="仿宋" w:hAnsi="仿宋" w:cs="仿宋" w:hint="eastAsia"/>
          <w:sz w:val="24"/>
        </w:rPr>
        <w:t>（六）基金现金分红</w:t>
      </w:r>
    </w:p>
    <w:p w14:paraId="0578F0B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1.基金管理人确定分红方案通知基金托管人，双方核定后</w:t>
      </w:r>
      <w:r>
        <w:rPr>
          <w:rFonts w:ascii="仿宋" w:eastAsia="仿宋" w:hAnsi="仿宋" w:cs="仿宋" w:hint="eastAsia"/>
          <w:sz w:val="24"/>
          <w:szCs w:val="18"/>
        </w:rPr>
        <w:t>依照《信息披露办法》的有关规定在中国证监会指定媒介上公告</w:t>
      </w:r>
      <w:r>
        <w:rPr>
          <w:rFonts w:ascii="仿宋" w:eastAsia="仿宋" w:hAnsi="仿宋" w:cs="仿宋" w:hint="eastAsia"/>
          <w:sz w:val="24"/>
        </w:rPr>
        <w:t>。</w:t>
      </w:r>
    </w:p>
    <w:p w14:paraId="0BB76829"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2.基金托管人和基金管理人对基金分红进行账务处理并核对后，基金管理人向基金托管人发送现金红利的划款指令，基金托管人应及时将资金划入专用账户。</w:t>
      </w:r>
    </w:p>
    <w:p w14:paraId="1623B1E8" w14:textId="77777777" w:rsidR="002E5B15" w:rsidRDefault="009C5419">
      <w:pPr>
        <w:ind w:firstLine="480"/>
        <w:rPr>
          <w:rFonts w:ascii="仿宋" w:eastAsia="仿宋" w:hAnsi="仿宋" w:cs="仿宋"/>
          <w:sz w:val="24"/>
        </w:rPr>
      </w:pPr>
      <w:r>
        <w:rPr>
          <w:rFonts w:ascii="仿宋" w:eastAsia="仿宋" w:hAnsi="仿宋" w:cs="仿宋" w:hint="eastAsia"/>
          <w:sz w:val="24"/>
        </w:rPr>
        <w:t>3.基金管理人在下达指令时，应给基金托管人留出必需的划款时间。</w:t>
      </w:r>
    </w:p>
    <w:p w14:paraId="726CCFEB" w14:textId="77777777" w:rsidR="002E5B15" w:rsidRDefault="009C5419">
      <w:pPr>
        <w:ind w:firstLine="480"/>
        <w:rPr>
          <w:rFonts w:ascii="仿宋" w:eastAsia="仿宋" w:hAnsi="仿宋" w:cs="仿宋"/>
          <w:sz w:val="24"/>
        </w:rPr>
      </w:pPr>
      <w:r>
        <w:rPr>
          <w:rFonts w:ascii="仿宋" w:eastAsia="仿宋" w:hAnsi="仿宋" w:cs="仿宋" w:hint="eastAsia"/>
          <w:sz w:val="24"/>
        </w:rPr>
        <w:t>（七）投资银行存款的特别约定</w:t>
      </w:r>
    </w:p>
    <w:p w14:paraId="537164E1" w14:textId="77777777" w:rsidR="002E5B15" w:rsidRDefault="009C5419">
      <w:pPr>
        <w:ind w:firstLine="480"/>
        <w:rPr>
          <w:rFonts w:ascii="仿宋" w:eastAsia="仿宋" w:hAnsi="仿宋" w:cs="仿宋"/>
          <w:sz w:val="24"/>
        </w:rPr>
      </w:pPr>
      <w:r>
        <w:rPr>
          <w:rFonts w:ascii="仿宋" w:eastAsia="仿宋" w:hAnsi="仿宋" w:cs="仿宋" w:hint="eastAsia"/>
          <w:sz w:val="24"/>
        </w:rPr>
        <w:t>1.本基金投资银行存款前，基金管理人应与存款银行签订具体存款协议，包括但不限于以下内容：</w:t>
      </w:r>
    </w:p>
    <w:p w14:paraId="4037E4FA" w14:textId="77777777" w:rsidR="002E5B15" w:rsidRDefault="009C5419">
      <w:pPr>
        <w:ind w:firstLine="480"/>
        <w:rPr>
          <w:rFonts w:ascii="仿宋" w:eastAsia="仿宋" w:hAnsi="仿宋" w:cs="仿宋"/>
          <w:sz w:val="24"/>
        </w:rPr>
      </w:pPr>
      <w:r>
        <w:rPr>
          <w:rFonts w:ascii="仿宋" w:eastAsia="仿宋" w:hAnsi="仿宋" w:cs="仿宋" w:hint="eastAsia"/>
          <w:sz w:val="24"/>
        </w:rPr>
        <w:t>（1）存款账户必须以本基金名义开立,并将基金托管人为本基金开立的基金银行账户指定为唯一回款账户，任何情况下，存款银行都不得将存款投资</w:t>
      </w:r>
      <w:proofErr w:type="gramStart"/>
      <w:r>
        <w:rPr>
          <w:rFonts w:ascii="仿宋" w:eastAsia="仿宋" w:hAnsi="仿宋" w:cs="仿宋" w:hint="eastAsia"/>
          <w:sz w:val="24"/>
        </w:rPr>
        <w:t>本息划往任何</w:t>
      </w:r>
      <w:proofErr w:type="gramEnd"/>
      <w:r>
        <w:rPr>
          <w:rFonts w:ascii="仿宋" w:eastAsia="仿宋" w:hAnsi="仿宋" w:cs="仿宋" w:hint="eastAsia"/>
          <w:sz w:val="24"/>
        </w:rPr>
        <w:t>其他账户。</w:t>
      </w:r>
    </w:p>
    <w:p w14:paraId="3B583179" w14:textId="77777777" w:rsidR="002E5B15" w:rsidRDefault="009C5419">
      <w:pPr>
        <w:ind w:firstLine="480"/>
        <w:rPr>
          <w:rFonts w:ascii="仿宋" w:eastAsia="仿宋" w:hAnsi="仿宋" w:cs="仿宋"/>
          <w:sz w:val="24"/>
        </w:rPr>
      </w:pPr>
      <w:r>
        <w:rPr>
          <w:rFonts w:ascii="仿宋" w:eastAsia="仿宋" w:hAnsi="仿宋" w:cs="仿宋" w:hint="eastAsia"/>
          <w:sz w:val="24"/>
        </w:rPr>
        <w:lastRenderedPageBreak/>
        <w:t>（2）存款银行不得接受基金管理人或基金托管人任何一方单方面提出的对存款进行更名、转让、挂失、质押、担保、撤销、变更印鉴及回款账户信息等可能导致财产转移的操作申请。</w:t>
      </w:r>
    </w:p>
    <w:p w14:paraId="416EC2F4" w14:textId="77777777" w:rsidR="002E5B15" w:rsidRDefault="009C5419">
      <w:pPr>
        <w:ind w:firstLine="480"/>
        <w:rPr>
          <w:rFonts w:ascii="仿宋" w:eastAsia="仿宋" w:hAnsi="仿宋" w:cs="仿宋"/>
          <w:sz w:val="24"/>
        </w:rPr>
      </w:pPr>
      <w:r>
        <w:rPr>
          <w:rFonts w:ascii="仿宋" w:eastAsia="仿宋" w:hAnsi="仿宋" w:cs="仿宋" w:hint="eastAsia"/>
          <w:sz w:val="24"/>
        </w:rPr>
        <w:t>（3）约定存款证实书的具体传递交接方式及交接期限。</w:t>
      </w:r>
    </w:p>
    <w:p w14:paraId="5139D5DE" w14:textId="77777777" w:rsidR="002E5B15" w:rsidRDefault="009C5419">
      <w:pPr>
        <w:ind w:firstLine="480"/>
        <w:rPr>
          <w:rFonts w:ascii="仿宋" w:eastAsia="仿宋" w:hAnsi="仿宋" w:cs="仿宋"/>
          <w:sz w:val="24"/>
        </w:rPr>
      </w:pPr>
      <w:r>
        <w:rPr>
          <w:rFonts w:ascii="仿宋" w:eastAsia="仿宋" w:hAnsi="仿宋" w:cs="仿宋" w:hint="eastAsia"/>
          <w:sz w:val="24"/>
        </w:rPr>
        <w:t>（4）资金划转过程中需要使用存款银行过渡账户的，存款银行须保证资金在过渡账户中不出现滞留，不被挪用。</w:t>
      </w:r>
    </w:p>
    <w:p w14:paraId="32CE8D9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本基金投资银行存款，必须采用双方认可的方式办理。基金托管人负责依据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391A17C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 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390EB27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账户的，以及因发生特殊情况由基金管理人提供相关书面说明并重新承诺送单截止时间的，可剔除不计。</w:t>
      </w:r>
    </w:p>
    <w:p w14:paraId="03E1472A" w14:textId="77777777" w:rsidR="002E5B15" w:rsidRDefault="009C5419">
      <w:pPr>
        <w:pStyle w:val="2"/>
        <w:jc w:val="center"/>
        <w:rPr>
          <w:rFonts w:ascii="仿宋" w:eastAsia="仿宋" w:hAnsi="仿宋" w:cs="仿宋"/>
          <w:sz w:val="30"/>
        </w:rPr>
      </w:pPr>
      <w:bookmarkStart w:id="86" w:name="_Toc124325892"/>
      <w:r>
        <w:rPr>
          <w:rFonts w:ascii="仿宋" w:eastAsia="仿宋" w:hAnsi="仿宋" w:cs="仿宋" w:hint="eastAsia"/>
          <w:sz w:val="30"/>
        </w:rPr>
        <w:t xml:space="preserve"> 八、基金资产净值计算和会计核算</w:t>
      </w:r>
      <w:bookmarkEnd w:id="86"/>
    </w:p>
    <w:p w14:paraId="7473D81E"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（一）基金资产净值的计算、复核与完成的时间及程序</w:t>
      </w:r>
    </w:p>
    <w:p w14:paraId="1B36EA2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1.基金资产净值是指基金资产总值减去负债后的金额。基金份额净值是按照每个估值日闭市后，基金资产净值除以当日基金份额的余额数量计算，精确到0.0001元，小数点后第五位舍去，由此产生的误差计入基金财产。基金管理人可以设立大额赎回情形下的净值精度应急调整机制。国家另有规定的，从其规定。</w:t>
      </w:r>
    </w:p>
    <w:p w14:paraId="24C128A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基金管理人每个估值日计算基金资产净值及基金份额净值，并按规定公告。</w:t>
      </w:r>
    </w:p>
    <w:p w14:paraId="2140F2F2"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管理人应每估值日对基金资产估值。但基金管理人根据法律法规或《基金合同》的规定暂停估值时除外。基金管理人每个估值日对基金资产估值后，将基金份额净值结果发送基金托管人，经基金托管人复核无误后，由基金管理人按约定对外公布。</w:t>
      </w:r>
    </w:p>
    <w:p w14:paraId="53B4FFCF"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（二）基金资产估值方法和特殊情形的处理</w:t>
      </w:r>
    </w:p>
    <w:p w14:paraId="61C6967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1.估值对象</w:t>
      </w:r>
    </w:p>
    <w:p w14:paraId="1A88480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基金所拥有的股票、股指期货合约、国债期货合约、股票期权合约、债券和银行存款本息、应收款项、其它投资等资产及负债。</w:t>
      </w:r>
    </w:p>
    <w:p w14:paraId="793EF4E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2.估值方法</w:t>
      </w:r>
    </w:p>
    <w:p w14:paraId="7F451D2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本基金所持有的投资品种，按如下原则进行估值 ：</w:t>
      </w:r>
    </w:p>
    <w:p w14:paraId="197C2AA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（1）证券交易所上市的有价证券的估值</w:t>
      </w:r>
    </w:p>
    <w:p w14:paraId="4B7DE9A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①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值；</w:t>
      </w:r>
    </w:p>
    <w:p w14:paraId="387A0F2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②交易所上市交易或挂牌转让的不含</w:t>
      </w:r>
      <w:proofErr w:type="gramStart"/>
      <w:r>
        <w:rPr>
          <w:rFonts w:ascii="仿宋" w:eastAsia="仿宋" w:hAnsi="仿宋" w:cs="仿宋" w:hint="eastAsia"/>
          <w:sz w:val="24"/>
        </w:rPr>
        <w:t>权固定</w:t>
      </w:r>
      <w:proofErr w:type="gramEnd"/>
      <w:r>
        <w:rPr>
          <w:rFonts w:ascii="仿宋" w:eastAsia="仿宋" w:hAnsi="仿宋" w:cs="仿宋" w:hint="eastAsia"/>
          <w:sz w:val="24"/>
        </w:rPr>
        <w:t>收益品种，选取估值日第三方估值机构提供的相应品种当日的估值净价进行估值；</w:t>
      </w:r>
    </w:p>
    <w:p w14:paraId="3DA4105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③交易所上市交易或挂牌转让的含</w:t>
      </w:r>
      <w:proofErr w:type="gramStart"/>
      <w:r>
        <w:rPr>
          <w:rFonts w:ascii="仿宋" w:eastAsia="仿宋" w:hAnsi="仿宋" w:cs="仿宋" w:hint="eastAsia"/>
          <w:sz w:val="24"/>
        </w:rPr>
        <w:t>权固定</w:t>
      </w:r>
      <w:proofErr w:type="gramEnd"/>
      <w:r>
        <w:rPr>
          <w:rFonts w:ascii="仿宋" w:eastAsia="仿宋" w:hAnsi="仿宋" w:cs="仿宋" w:hint="eastAsia"/>
          <w:sz w:val="24"/>
        </w:rPr>
        <w:t>收益品种，选取估值日第三方估值机构提供的相应品种当日的唯一估值净价或推荐估值净价进行估值；</w:t>
      </w:r>
    </w:p>
    <w:p w14:paraId="5A13331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④交易所上市交易的可转换债券以每日收盘价作为估值全价；</w:t>
      </w:r>
    </w:p>
    <w:p w14:paraId="2D9BEB9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⑤交易所上市不存在活跃市场的有价证券，采用估值技术确定公允价值。交易所市场挂牌转让的资产支持证券，采用估值技术确定公允价值；</w:t>
      </w:r>
    </w:p>
    <w:p w14:paraId="51AB0CA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w:t>
      </w:r>
      <w:r>
        <w:rPr>
          <w:rFonts w:ascii="仿宋" w:eastAsia="仿宋" w:hAnsi="仿宋" w:cs="仿宋" w:hint="eastAsia"/>
          <w:sz w:val="24"/>
        </w:rPr>
        <w:lastRenderedPageBreak/>
        <w:t>值；对于不存在市场活动或市场活动很少的情况下，应采用估值技术确定其公允价值。</w:t>
      </w:r>
    </w:p>
    <w:p w14:paraId="2A12217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（2）处于未上市期间的有价证券应区分如下情况处理：</w:t>
      </w:r>
    </w:p>
    <w:p w14:paraId="149B8DAE"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①送股、转增股、配股和公开增发的新股，按估值日在证券交易所挂牌的同一股票的估值方法估值；该日无交易的，以最近一日的市价（收盘价）估值；</w:t>
      </w:r>
    </w:p>
    <w:p w14:paraId="2E971AD0"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②首次公开发行未上市的股票和债券，采用估值技术确定公允价值，在估值技术难以可靠计量公允价值的情况下，按成本估值；</w:t>
      </w:r>
    </w:p>
    <w:p w14:paraId="75EC65C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ascii="仿宋" w:eastAsia="仿宋" w:hAnsi="仿宋" w:cs="仿宋" w:hint="eastAsia"/>
          <w:sz w:val="24"/>
        </w:rPr>
        <w:t>券</w:t>
      </w:r>
      <w:proofErr w:type="gramEnd"/>
      <w:r>
        <w:rPr>
          <w:rFonts w:ascii="仿宋" w:eastAsia="仿宋" w:hAnsi="仿宋" w:cs="仿宋" w:hint="eastAsia"/>
          <w:sz w:val="24"/>
        </w:rPr>
        <w:t>等流通受限股票，按监管机构或行业协会有关规定确定公允价值。</w:t>
      </w:r>
    </w:p>
    <w:p w14:paraId="0909FA7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DB238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（4）存款的估值方法</w:t>
      </w:r>
    </w:p>
    <w:p w14:paraId="17EE48D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持有的银行定期存款或通知存款以本金列示，按协议或合同利率逐日确认利息收入。</w:t>
      </w:r>
    </w:p>
    <w:p w14:paraId="2B6CF0F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（5）同一证券同时在两个或两个以上市场交易的，按证券所处的市场分别估值。</w:t>
      </w:r>
    </w:p>
    <w:p w14:paraId="0D65088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（6）投资证券衍生品的估值方法</w:t>
      </w:r>
    </w:p>
    <w:p w14:paraId="7805D45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①股指期货合约，一般以估值当日结算价进行，估值当日无结算价的，且最近交易日后经济环境未发生重大变化的，采用最近交易日结算价估值。</w:t>
      </w:r>
    </w:p>
    <w:p w14:paraId="12B147D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②国债期货合约，一般以估值当日结算价进行，估值当日无结算价的，且最近交易日后经济环境未发生重大变化的，采用最近交易日结算价估值。</w:t>
      </w:r>
    </w:p>
    <w:p w14:paraId="361D920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bCs/>
          <w:sz w:val="24"/>
        </w:rPr>
        <w:t>③本基金投资股票期权合约，一般以股票期权估值日的结算价进行估值，估值当日无结算价的，且最近交易日后经济环境未发生重大变化的，采用最近交易日结算价估值。</w:t>
      </w:r>
    </w:p>
    <w:p w14:paraId="277782E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（7）本基金可以采用第三方估值机构按照上述公允价值确定原则提供的估值价格数据。</w:t>
      </w:r>
    </w:p>
    <w:p w14:paraId="2EE60E3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（8）估值计算中涉及港币对人民币汇率的，将依据下列信息提供机构所提供的汇率为基准：当日中国人民银行公布的人民币与港币的中间价。</w:t>
      </w:r>
    </w:p>
    <w:p w14:paraId="4ABC518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（9）如有确凿证据表明按上述方法进行估值不能客观反映其公允价值的，基金管理人可根据具体情况与基金托管人商定后，按最能反映公允价值的价格估值。</w:t>
      </w:r>
    </w:p>
    <w:p w14:paraId="3591C54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（10）当发生大额申购或赎回情形时，基金管理人可以采用摆动定价机制，以确保基金估值的公平性。</w:t>
      </w:r>
    </w:p>
    <w:p w14:paraId="3449DE9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（11）相关法律法规以及监管部门有强制规定的，从其规定。如有新增事项，按国家最新规定估值。</w:t>
      </w:r>
    </w:p>
    <w:p w14:paraId="10EDA16D" w14:textId="77777777" w:rsidR="002E5B15" w:rsidRDefault="009C5419">
      <w:pPr>
        <w:adjustRightInd w:val="0"/>
        <w:snapToGrid w:val="0"/>
        <w:ind w:firstLine="480"/>
        <w:rPr>
          <w:rFonts w:ascii="仿宋" w:eastAsia="仿宋" w:hAnsi="仿宋" w:cs="仿宋"/>
          <w:sz w:val="24"/>
        </w:rPr>
      </w:pPr>
      <w:r>
        <w:rPr>
          <w:rFonts w:ascii="仿宋" w:eastAsia="仿宋" w:hAnsi="仿宋" w:cs="仿宋"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7568028" w14:textId="77777777" w:rsidR="002E5B15" w:rsidRDefault="009C5419">
      <w:pPr>
        <w:adjustRightInd w:val="0"/>
        <w:snapToGrid w:val="0"/>
        <w:ind w:firstLine="480"/>
        <w:rPr>
          <w:rFonts w:ascii="仿宋" w:eastAsia="仿宋" w:hAnsi="仿宋" w:cs="仿宋"/>
          <w:sz w:val="24"/>
          <w:szCs w:val="21"/>
        </w:rPr>
      </w:pPr>
      <w:r>
        <w:rPr>
          <w:rFonts w:ascii="仿宋" w:eastAsia="仿宋" w:hAnsi="仿宋" w:cs="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份额净值的计算结果对外予以公布。</w:t>
      </w:r>
    </w:p>
    <w:p w14:paraId="1C7F42CB" w14:textId="77777777" w:rsidR="002E5B15" w:rsidRDefault="009C5419">
      <w:pPr>
        <w:adjustRightInd w:val="0"/>
        <w:snapToGrid w:val="0"/>
        <w:ind w:firstLine="480"/>
        <w:rPr>
          <w:rStyle w:val="read"/>
          <w:rFonts w:ascii="仿宋" w:eastAsia="仿宋" w:hAnsi="仿宋" w:cs="仿宋"/>
          <w:sz w:val="24"/>
        </w:rPr>
      </w:pPr>
      <w:r>
        <w:rPr>
          <w:rStyle w:val="read"/>
          <w:rFonts w:ascii="仿宋" w:eastAsia="仿宋" w:hAnsi="仿宋" w:cs="仿宋" w:hint="eastAsia"/>
          <w:sz w:val="24"/>
        </w:rPr>
        <w:t>3.特殊情形的处理</w:t>
      </w:r>
    </w:p>
    <w:p w14:paraId="59322B6E" w14:textId="77777777" w:rsidR="002E5B15" w:rsidRDefault="009C5419">
      <w:pPr>
        <w:adjustRightInd w:val="0"/>
        <w:snapToGrid w:val="0"/>
        <w:ind w:firstLineChars="200" w:firstLine="480"/>
        <w:rPr>
          <w:rStyle w:val="read"/>
          <w:rFonts w:ascii="仿宋" w:eastAsia="仿宋" w:hAnsi="仿宋" w:cs="仿宋"/>
          <w:sz w:val="24"/>
        </w:rPr>
      </w:pPr>
      <w:r>
        <w:rPr>
          <w:rStyle w:val="read"/>
          <w:rFonts w:ascii="仿宋" w:eastAsia="仿宋" w:hAnsi="仿宋" w:cs="仿宋" w:hint="eastAsia"/>
          <w:sz w:val="24"/>
        </w:rPr>
        <w:t>基金管理人、基金托管人按估值方法的第(9)项进行估值时，所造成的误差不作为基金资产估值错误处理。</w:t>
      </w:r>
    </w:p>
    <w:p w14:paraId="74B8F1F3" w14:textId="77777777" w:rsidR="002E5B15" w:rsidRDefault="009C5419">
      <w:pPr>
        <w:adjustRightInd w:val="0"/>
        <w:snapToGrid w:val="0"/>
        <w:ind w:firstLineChars="200" w:firstLine="480"/>
        <w:rPr>
          <w:rStyle w:val="read"/>
          <w:rFonts w:ascii="仿宋" w:eastAsia="仿宋" w:hAnsi="仿宋" w:cs="仿宋"/>
          <w:sz w:val="24"/>
        </w:rPr>
      </w:pPr>
      <w:r>
        <w:rPr>
          <w:rStyle w:val="read"/>
          <w:rFonts w:ascii="仿宋" w:eastAsia="仿宋" w:hAnsi="仿宋" w:cs="仿宋" w:hint="eastAsia"/>
          <w:sz w:val="24"/>
        </w:rPr>
        <w:t>（三）基金份额净值错误的处理方式</w:t>
      </w:r>
    </w:p>
    <w:p w14:paraId="7626F30E" w14:textId="77777777" w:rsidR="002E5B15" w:rsidRDefault="009C5419">
      <w:pPr>
        <w:adjustRightInd w:val="0"/>
        <w:snapToGrid w:val="0"/>
        <w:ind w:firstLineChars="200" w:firstLine="480"/>
        <w:rPr>
          <w:rStyle w:val="read"/>
          <w:rFonts w:ascii="仿宋" w:eastAsia="仿宋" w:hAnsi="仿宋" w:cs="仿宋"/>
          <w:sz w:val="24"/>
        </w:rPr>
      </w:pPr>
      <w:r>
        <w:rPr>
          <w:rStyle w:val="read"/>
          <w:rFonts w:ascii="仿宋" w:eastAsia="仿宋" w:hAnsi="仿宋" w:cs="仿宋" w:hint="eastAsia"/>
          <w:sz w:val="24"/>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Pr>
          <w:rFonts w:ascii="仿宋" w:eastAsia="仿宋" w:hAnsi="仿宋" w:cs="仿宋" w:hint="eastAsia"/>
          <w:sz w:val="24"/>
        </w:rPr>
        <w:t>；错误偏差达到基金份额净值的0.5%时，基金管理人应当公告，并报中国证监会备案</w:t>
      </w:r>
      <w:r>
        <w:rPr>
          <w:rFonts w:ascii="仿宋" w:eastAsia="仿宋" w:hAnsi="仿宋" w:cs="仿宋" w:hint="eastAsia"/>
        </w:rPr>
        <w:t>；当</w:t>
      </w:r>
      <w:r>
        <w:rPr>
          <w:rStyle w:val="read"/>
          <w:rFonts w:ascii="仿宋" w:eastAsia="仿宋" w:hAnsi="仿宋" w:cs="仿宋" w:hint="eastAsia"/>
          <w:sz w:val="24"/>
        </w:rPr>
        <w:t>发生净值计算错误时，由基金管理人负责处理，由此给基金份额持有人和基金造成损失的，应由基金管理人先行赔付，基金管理人按差错情形，有权向其他当事人追偿。</w:t>
      </w:r>
    </w:p>
    <w:p w14:paraId="4F4762FC" w14:textId="77777777" w:rsidR="002E5B15" w:rsidRDefault="009C5419">
      <w:pPr>
        <w:adjustRightInd w:val="0"/>
        <w:snapToGrid w:val="0"/>
        <w:ind w:firstLineChars="200" w:firstLine="480"/>
        <w:rPr>
          <w:rStyle w:val="read"/>
          <w:rFonts w:ascii="仿宋" w:eastAsia="仿宋" w:hAnsi="仿宋" w:cs="仿宋"/>
          <w:sz w:val="24"/>
        </w:rPr>
      </w:pPr>
      <w:r>
        <w:rPr>
          <w:rStyle w:val="read"/>
          <w:rFonts w:ascii="仿宋" w:eastAsia="仿宋" w:hAnsi="仿宋" w:cs="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00AD43FA" w14:textId="77777777" w:rsidR="002E5B15" w:rsidRDefault="009C5419">
      <w:pPr>
        <w:adjustRightInd w:val="0"/>
        <w:snapToGrid w:val="0"/>
        <w:ind w:firstLineChars="200" w:firstLine="480"/>
        <w:rPr>
          <w:rFonts w:ascii="仿宋" w:eastAsia="仿宋" w:hAnsi="仿宋" w:cs="仿宋"/>
          <w:sz w:val="24"/>
        </w:rPr>
      </w:pPr>
      <w:r>
        <w:rPr>
          <w:rStyle w:val="read"/>
          <w:rFonts w:ascii="仿宋" w:eastAsia="仿宋" w:hAnsi="仿宋" w:cs="仿宋" w:hint="eastAsia"/>
          <w:sz w:val="24"/>
        </w:rPr>
        <w:t>(1)本基金的基金会计责任方由基金管理人担任，与本基金有关的会计问题，</w:t>
      </w:r>
      <w:r>
        <w:rPr>
          <w:rStyle w:val="read"/>
          <w:rFonts w:ascii="仿宋" w:eastAsia="仿宋" w:hAnsi="仿宋" w:cs="仿宋" w:hint="eastAsia"/>
          <w:sz w:val="24"/>
        </w:rPr>
        <w:lastRenderedPageBreak/>
        <w:t>如经双方在平等基础上充分讨论后，尚不能达成一致时，按基金管理人的建议执行，由此给基金份额持有人和基金财产造成的</w:t>
      </w:r>
      <w:r>
        <w:rPr>
          <w:rFonts w:ascii="仿宋" w:eastAsia="仿宋" w:hAnsi="仿宋" w:cs="仿宋" w:hint="eastAsia"/>
          <w:sz w:val="24"/>
        </w:rPr>
        <w:t>损失，由基金管理人负责赔付。</w:t>
      </w:r>
    </w:p>
    <w:p w14:paraId="12158CE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w:t>
      </w:r>
      <w:proofErr w:type="gramStart"/>
      <w:r>
        <w:rPr>
          <w:rFonts w:ascii="仿宋" w:eastAsia="仿宋" w:hAnsi="仿宋" w:cs="仿宋" w:hint="eastAsia"/>
          <w:kern w:val="0"/>
          <w:sz w:val="24"/>
        </w:rPr>
        <w:t>若基金</w:t>
      </w:r>
      <w:proofErr w:type="gramEnd"/>
      <w:r>
        <w:rPr>
          <w:rFonts w:ascii="仿宋" w:eastAsia="仿宋" w:hAnsi="仿宋" w:cs="仿宋"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FCB9E3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2182561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w:t>
      </w:r>
      <w:r>
        <w:rPr>
          <w:rFonts w:ascii="仿宋" w:eastAsia="仿宋" w:hAnsi="仿宋" w:cs="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202DEDA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3.由于不可抗力，或证券、期货交易所及登记结算公司及存款银行等第三方机构发送的数据错误等</w:t>
      </w:r>
      <w:proofErr w:type="gramStart"/>
      <w:r>
        <w:rPr>
          <w:rFonts w:ascii="仿宋" w:eastAsia="仿宋" w:hAnsi="仿宋" w:cs="仿宋" w:hint="eastAsia"/>
          <w:sz w:val="24"/>
        </w:rPr>
        <w:t>非基金</w:t>
      </w:r>
      <w:proofErr w:type="gramEnd"/>
      <w:r>
        <w:rPr>
          <w:rFonts w:ascii="仿宋" w:eastAsia="仿宋" w:hAnsi="仿宋" w:cs="仿宋" w:hint="eastAsia"/>
          <w:sz w:val="24"/>
        </w:rPr>
        <w:t>管理人与基金托管人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1D01E63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4.基金管理人和基金托管人由于各自技术系统设置而产生的净值计算尾差，以基金管理人计算结果为准。</w:t>
      </w:r>
    </w:p>
    <w:p w14:paraId="6CE9DD0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5.前述内容如法律法规或者监管部门另有规定的，从其规定。如果行业另有通行做法，双方当事人应本着平等和保护基金份额持有人利益的原则进行协商。</w:t>
      </w:r>
    </w:p>
    <w:p w14:paraId="62D1BBA5"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（四）暂停估值与公告基金份额净值的情形</w:t>
      </w:r>
    </w:p>
    <w:p w14:paraId="2318A241"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1.基金投资所涉及的证券、期货交易市场遇法定节假日或因其他原因暂停营业时；</w:t>
      </w:r>
    </w:p>
    <w:p w14:paraId="03154E04"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2.因不可抗力致使基金管理人、基金托管人无法准确评估基金资产价值时；</w:t>
      </w:r>
    </w:p>
    <w:p w14:paraId="635E9DFB"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3.当前一估值日基金资产净值 50%以上的资产出现无可参考的活跃市场价格且采用估值技术</w:t>
      </w:r>
      <w:proofErr w:type="gramStart"/>
      <w:r>
        <w:rPr>
          <w:rFonts w:ascii="仿宋" w:eastAsia="仿宋" w:hAnsi="仿宋" w:cs="仿宋" w:hint="eastAsia"/>
          <w:sz w:val="24"/>
        </w:rPr>
        <w:t>仍导致</w:t>
      </w:r>
      <w:proofErr w:type="gramEnd"/>
      <w:r>
        <w:rPr>
          <w:rFonts w:ascii="仿宋" w:eastAsia="仿宋" w:hAnsi="仿宋" w:cs="仿宋" w:hint="eastAsia"/>
          <w:sz w:val="24"/>
        </w:rPr>
        <w:t>公允价值存在重大不确定性时，经与基金托管人协商一致的；</w:t>
      </w:r>
    </w:p>
    <w:p w14:paraId="3FDF9EAC"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4.占基金相当比例的投资品种的估值出现重大转变，而基金管理人为保障投资人的利益，已决定延迟估值；如果出现基金管理人认为属于紧急事故的任何情况，导致基金管理人不能出售或评估基金资产时；</w:t>
      </w:r>
    </w:p>
    <w:p w14:paraId="00D6F9F7"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lastRenderedPageBreak/>
        <w:t>5.中国证监会和《基金合同》认定的其他情形。</w:t>
      </w:r>
    </w:p>
    <w:p w14:paraId="5240252A"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（五）基金会计制度</w:t>
      </w:r>
    </w:p>
    <w:p w14:paraId="01DE8B1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按国家有关部门规定的会计制度执行。</w:t>
      </w:r>
    </w:p>
    <w:p w14:paraId="518A8D3A"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（六）基金账册的建立</w:t>
      </w:r>
    </w:p>
    <w:p w14:paraId="4B58D9C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基金管理人进行基金会计核算并编制基金财务会计报告。基金管理人独立地设置、记录和保管本基金的全套账册。</w:t>
      </w:r>
      <w:proofErr w:type="gramStart"/>
      <w:r>
        <w:rPr>
          <w:rFonts w:ascii="仿宋" w:eastAsia="仿宋" w:hAnsi="仿宋" w:cs="仿宋" w:hint="eastAsia"/>
          <w:sz w:val="24"/>
        </w:rPr>
        <w:t>若基金</w:t>
      </w:r>
      <w:proofErr w:type="gramEnd"/>
      <w:r>
        <w:rPr>
          <w:rFonts w:ascii="仿宋" w:eastAsia="仿宋" w:hAnsi="仿宋" w:cs="仿宋"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2AA8048F"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（七）基金财务报表与报告的编制和复核</w:t>
      </w:r>
    </w:p>
    <w:p w14:paraId="0AC3A43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1.财务报表的编制</w:t>
      </w:r>
    </w:p>
    <w:p w14:paraId="0E7E8EC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基金财务报表由基金管理人编制，基金托管人复核。</w:t>
      </w:r>
    </w:p>
    <w:p w14:paraId="2838D4E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2.报表复核</w:t>
      </w:r>
    </w:p>
    <w:p w14:paraId="274D06A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基金托管人在收到基金管理人编制的基金财务报表后，进行独立的复核。核对不符时，应及时通知基金管理人共同查出原因，进行调整，直至双方数据完全一致。</w:t>
      </w:r>
    </w:p>
    <w:p w14:paraId="5105E36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3.财务报表的编制与复核时间安排</w:t>
      </w:r>
    </w:p>
    <w:p w14:paraId="69F0D37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(1)报表的编制</w:t>
      </w:r>
    </w:p>
    <w:p w14:paraId="56EE0E5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应当在每月结束后5个工作日内完成月度报表的编制；在季度结束之日起15个工作日内完成基金季度报告的编制及复核；在上半年结束之日起两个月内完成基金中期报告的编制及复核；在每年结束之日起三个月内完成基金年度报告的编制及复核。基金年度报告的财务会计报告应当经过具有证券、期货相关业务资格的会计师事务所审计。《基金合同》生效不足两个月的，基金管理人可以不编制当期季度报告、中期报告或者年度报告。</w:t>
      </w:r>
    </w:p>
    <w:p w14:paraId="05A82434" w14:textId="77777777" w:rsidR="002E5B15" w:rsidRDefault="009C5419">
      <w:pPr>
        <w:pStyle w:val="a0"/>
        <w:adjustRightInd w:val="0"/>
        <w:snapToGrid w:val="0"/>
        <w:ind w:firstLine="480"/>
        <w:rPr>
          <w:rFonts w:ascii="仿宋" w:eastAsia="仿宋" w:hAnsi="仿宋" w:cs="仿宋"/>
          <w:sz w:val="24"/>
        </w:rPr>
      </w:pPr>
      <w:r>
        <w:rPr>
          <w:rFonts w:ascii="仿宋" w:eastAsia="仿宋" w:hAnsi="仿宋" w:cs="仿宋" w:hint="eastAsia"/>
          <w:sz w:val="24"/>
        </w:rPr>
        <w:t>(2)报表的复核</w:t>
      </w:r>
    </w:p>
    <w:p w14:paraId="1E818C26" w14:textId="77777777" w:rsidR="002E5B15" w:rsidRDefault="009C5419">
      <w:pPr>
        <w:pStyle w:val="a0"/>
        <w:adjustRightInd w:val="0"/>
        <w:snapToGrid w:val="0"/>
        <w:ind w:firstLine="480"/>
        <w:rPr>
          <w:rFonts w:ascii="仿宋" w:eastAsia="仿宋" w:hAnsi="仿宋" w:cs="仿宋"/>
          <w:sz w:val="24"/>
        </w:rPr>
      </w:pPr>
      <w:r>
        <w:rPr>
          <w:rFonts w:ascii="仿宋" w:eastAsia="仿宋" w:hAnsi="仿宋" w:cs="仿宋"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AEA5C8D" w14:textId="77777777" w:rsidR="002E5B15" w:rsidRDefault="009C5419">
      <w:pPr>
        <w:pStyle w:val="a0"/>
        <w:adjustRightInd w:val="0"/>
        <w:snapToGrid w:val="0"/>
        <w:ind w:firstLine="480"/>
        <w:rPr>
          <w:rFonts w:ascii="仿宋" w:eastAsia="仿宋" w:hAnsi="仿宋" w:cs="仿宋"/>
          <w:sz w:val="24"/>
        </w:rPr>
      </w:pPr>
      <w:r>
        <w:rPr>
          <w:rFonts w:ascii="仿宋" w:eastAsia="仿宋" w:hAnsi="仿宋" w:cs="仿宋" w:hint="eastAsia"/>
          <w:sz w:val="24"/>
        </w:rPr>
        <w:t>基金管理人应留足充分的时间，便于基金托管人复核相关报表及报告。</w:t>
      </w:r>
    </w:p>
    <w:p w14:paraId="3BED89C1" w14:textId="77777777" w:rsidR="002E5B15" w:rsidRDefault="009C5419">
      <w:pPr>
        <w:pStyle w:val="a0"/>
        <w:adjustRightInd w:val="0"/>
        <w:snapToGrid w:val="0"/>
        <w:ind w:firstLine="480"/>
        <w:rPr>
          <w:rFonts w:ascii="仿宋" w:eastAsia="仿宋" w:hAnsi="仿宋" w:cs="仿宋"/>
          <w:sz w:val="24"/>
        </w:rPr>
      </w:pPr>
      <w:r>
        <w:rPr>
          <w:rFonts w:ascii="仿宋" w:eastAsia="仿宋" w:hAnsi="仿宋" w:cs="仿宋" w:hint="eastAsia"/>
          <w:sz w:val="24"/>
        </w:rPr>
        <w:t>（八）基金管理人应在编制季度报告、中期报告或者年度报告之前及时向基金托管人提供基金业绩比较基准的基础数据和编制结果。</w:t>
      </w:r>
    </w:p>
    <w:p w14:paraId="22CA86C2" w14:textId="77777777" w:rsidR="002E5B15" w:rsidRDefault="002E5B15">
      <w:pPr>
        <w:pStyle w:val="a0"/>
        <w:adjustRightInd w:val="0"/>
        <w:snapToGrid w:val="0"/>
        <w:ind w:firstLineChars="0" w:firstLine="0"/>
        <w:rPr>
          <w:rFonts w:ascii="仿宋" w:eastAsia="仿宋" w:hAnsi="仿宋" w:cs="仿宋"/>
          <w:sz w:val="24"/>
        </w:rPr>
      </w:pPr>
    </w:p>
    <w:p w14:paraId="4EA08B8E" w14:textId="77777777" w:rsidR="002E5B15" w:rsidRDefault="009C5419">
      <w:pPr>
        <w:pStyle w:val="2"/>
        <w:jc w:val="center"/>
        <w:rPr>
          <w:rFonts w:ascii="仿宋" w:eastAsia="仿宋" w:hAnsi="仿宋" w:cs="仿宋"/>
          <w:sz w:val="30"/>
        </w:rPr>
      </w:pPr>
      <w:bookmarkStart w:id="87" w:name="_Toc124325893"/>
      <w:r>
        <w:rPr>
          <w:rFonts w:ascii="仿宋" w:eastAsia="仿宋" w:hAnsi="仿宋" w:cs="仿宋" w:hint="eastAsia"/>
          <w:sz w:val="30"/>
        </w:rPr>
        <w:lastRenderedPageBreak/>
        <w:t>九、基金收益分配</w:t>
      </w:r>
      <w:bookmarkEnd w:id="87"/>
    </w:p>
    <w:p w14:paraId="0016A09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基金收益分配是指按规定将基金的可分配收益按基金份额进行比例分配。</w:t>
      </w:r>
    </w:p>
    <w:p w14:paraId="7F1B0702"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（一）基金收益分配的原则</w:t>
      </w:r>
    </w:p>
    <w:p w14:paraId="4AE8CF3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基金收益分配应遵循下列原则：</w:t>
      </w:r>
    </w:p>
    <w:p w14:paraId="606333D8"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1、在符合有关基金分红条件的前提下，本基金可以进行收益分配，本基金每年分红次数不超过1次，若《基金合同》生效不满3个月可不进行收益分配；</w:t>
      </w:r>
    </w:p>
    <w:p w14:paraId="58C8D9C2"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2C56BDB8"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3、基金收益分配后基金份额净值不能低于面值，即基金收益分配基准日的基金份额净值减去每单位基金份额收益分配金额后不能低于面值；</w:t>
      </w:r>
    </w:p>
    <w:p w14:paraId="16B9184F"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4、每一基金份额享有同等分配权；</w:t>
      </w:r>
    </w:p>
    <w:p w14:paraId="55E647B8"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5、法律法规或监管机关另有规定的，从其规定。</w:t>
      </w:r>
    </w:p>
    <w:p w14:paraId="7E5A4072"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在对基金份额持有人利益无实质性不利影响的情况下，基金管理人可在法律法规允许的前提下经与基金托管人协商一致并按照监管部门要求履行适当程序后酌情调整以上基金收益分配原则，此项调整不需要召开基金份额持有人大会，但应于变更实施日前在指定媒介公告。</w:t>
      </w:r>
    </w:p>
    <w:p w14:paraId="6767571D"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（二）基金收益分配的时间和程序</w:t>
      </w:r>
    </w:p>
    <w:p w14:paraId="0285DD90"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本基金收益分配方案由基金管理人拟订，并由基金托管人复核，在2日内在指定媒介公告。</w:t>
      </w:r>
    </w:p>
    <w:p w14:paraId="6491919C"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基金收益分配方案公告后(依据具体方案的规定)，基金管理人就支付的现金红利向基金托管人发送划款指令，基金托管人按照基金管理人的指令及时进行分红资金的划付。</w:t>
      </w:r>
    </w:p>
    <w:p w14:paraId="3F8C05A2"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79C10146" w14:textId="77777777" w:rsidR="002E5B15" w:rsidRDefault="002E5B15">
      <w:pPr>
        <w:adjustRightInd w:val="0"/>
        <w:snapToGrid w:val="0"/>
        <w:rPr>
          <w:rFonts w:ascii="仿宋" w:eastAsia="仿宋" w:hAnsi="仿宋" w:cs="仿宋"/>
          <w:sz w:val="24"/>
        </w:rPr>
      </w:pPr>
    </w:p>
    <w:p w14:paraId="7C5ACA12" w14:textId="77777777" w:rsidR="002E5B15" w:rsidRDefault="009C5419">
      <w:pPr>
        <w:pStyle w:val="2"/>
        <w:jc w:val="center"/>
        <w:rPr>
          <w:rFonts w:ascii="仿宋" w:eastAsia="仿宋" w:hAnsi="仿宋" w:cs="仿宋"/>
          <w:sz w:val="30"/>
        </w:rPr>
      </w:pPr>
      <w:bookmarkStart w:id="88" w:name="_Toc124325894"/>
      <w:r>
        <w:rPr>
          <w:rFonts w:ascii="仿宋" w:eastAsia="仿宋" w:hAnsi="仿宋" w:cs="仿宋" w:hint="eastAsia"/>
          <w:sz w:val="30"/>
        </w:rPr>
        <w:t>十、基金信息披露</w:t>
      </w:r>
      <w:bookmarkEnd w:id="88"/>
    </w:p>
    <w:p w14:paraId="42070741"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（一）保密义务</w:t>
      </w:r>
    </w:p>
    <w:p w14:paraId="22AE260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基金托管人和基金管理人应按法律法规、《基金合同》的有关规定进行信息披露，拟公开披露的信息在公开披露之前应予保密。除按《基金法》、《运作办法》、《流动性风险管理规定》、《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0DF6879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1.非因基金管理人和基金托管人的原因导致保密信息被披露、泄露或公开；</w:t>
      </w:r>
    </w:p>
    <w:p w14:paraId="45BD18B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2.基金管理人和基金托管人为遵守和服从法院判决或裁定、仲裁裁决或中国证监会等监管机构的命令、决定所做出的信息披露或公开。</w:t>
      </w:r>
    </w:p>
    <w:p w14:paraId="0269919A"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（二）信息披露的内容</w:t>
      </w:r>
    </w:p>
    <w:p w14:paraId="27037D1D"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基金的信息披露内容主要包括基金招募说明书、《基金合同》、托管协议、基金产品资料概要、基金份额发售公告、《基金合同》生效公告、基金净值信息、基金份额申购、赎回价格、基金定期报告（包括基金年度报告、基金中期报告和基金季度报告）、临时报告、澄清公告、基金份额持有人大会决议及中国证监会规定的其他信息。基金年度报告需经过具有证券、期货相关业务资格的会计事务所审核后，方可披露。</w:t>
      </w:r>
    </w:p>
    <w:p w14:paraId="4BE395E8"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（三）基金托管人和基金管理人在信息披露中的职责和信息披露程序</w:t>
      </w:r>
    </w:p>
    <w:p w14:paraId="74FAC3F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1.职责</w:t>
      </w:r>
    </w:p>
    <w:p w14:paraId="533DB18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00D0623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对于不需要基金托管人复核的信息，基金管理人在公告前应告知基金托管人。</w:t>
      </w:r>
    </w:p>
    <w:p w14:paraId="55536C4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基金管理人和基金托管人应积极配合、互相监督，保证其履行按照法定方式和限时披露的义务。</w:t>
      </w:r>
    </w:p>
    <w:p w14:paraId="7C6CE8E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792F014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当出现下述情况时，基金管理人和基金托管人可暂停或延迟披露基金相关信息：</w:t>
      </w:r>
    </w:p>
    <w:p w14:paraId="1B514FF9"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（1）基金投资所涉及的证券、期货交易市场遇法定节假日或因其他原因暂停</w:t>
      </w:r>
      <w:r>
        <w:rPr>
          <w:rFonts w:ascii="仿宋" w:eastAsia="仿宋" w:hAnsi="仿宋" w:cs="仿宋" w:hint="eastAsia"/>
          <w:sz w:val="24"/>
        </w:rPr>
        <w:lastRenderedPageBreak/>
        <w:t>营业时；</w:t>
      </w:r>
    </w:p>
    <w:p w14:paraId="1975C014"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（2）因不可抗力致使基金管理人、基金托管人无法准确评估基金资产价值时；</w:t>
      </w:r>
    </w:p>
    <w:p w14:paraId="555670B8"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（3）前一估值日基金资产净值50%以上的资产出现无可参考的活跃市场价格且采用估值技术</w:t>
      </w:r>
      <w:proofErr w:type="gramStart"/>
      <w:r>
        <w:rPr>
          <w:rFonts w:ascii="仿宋" w:eastAsia="仿宋" w:hAnsi="仿宋" w:cs="仿宋" w:hint="eastAsia"/>
          <w:sz w:val="24"/>
        </w:rPr>
        <w:t>仍导致</w:t>
      </w:r>
      <w:proofErr w:type="gramEnd"/>
      <w:r>
        <w:rPr>
          <w:rFonts w:ascii="仿宋" w:eastAsia="仿宋" w:hAnsi="仿宋" w:cs="仿宋" w:hint="eastAsia"/>
          <w:sz w:val="24"/>
        </w:rPr>
        <w:t>公允价值存在重大不确定时，经与基金托管人协商确认后暂停估值时；</w:t>
      </w:r>
    </w:p>
    <w:p w14:paraId="702F182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（4）法律法规规定、中国证监会或《基金合同》认定的其他情形。</w:t>
      </w:r>
    </w:p>
    <w:p w14:paraId="59BFBF0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2.程序</w:t>
      </w:r>
    </w:p>
    <w:p w14:paraId="2C0F73F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按有关规定须经基金托管人复核的信息披露文件，由基金管理人起草、并经基金托管人复核后由基金管理人公告。发生《基金合同》中规定需要披露的事项时，按《基金合同》规定公布。</w:t>
      </w:r>
    </w:p>
    <w:p w14:paraId="67E1769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3.信息文本的存放</w:t>
      </w:r>
    </w:p>
    <w:p w14:paraId="4F8F7C36" w14:textId="77777777" w:rsidR="002E5B15" w:rsidRDefault="009C5419">
      <w:pPr>
        <w:pStyle w:val="a0"/>
        <w:ind w:firstLine="480"/>
        <w:rPr>
          <w:rFonts w:ascii="仿宋" w:eastAsia="仿宋" w:hAnsi="仿宋" w:cs="仿宋"/>
          <w:sz w:val="24"/>
        </w:rPr>
      </w:pPr>
      <w:r>
        <w:rPr>
          <w:rFonts w:ascii="仿宋" w:eastAsia="仿宋" w:hAnsi="仿宋" w:cs="仿宋"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4E9CF909" w14:textId="77777777" w:rsidR="002E5B15" w:rsidRDefault="002E5B15">
      <w:pPr>
        <w:pStyle w:val="a0"/>
        <w:ind w:firstLineChars="0" w:firstLine="0"/>
        <w:rPr>
          <w:rFonts w:ascii="仿宋" w:eastAsia="仿宋" w:hAnsi="仿宋" w:cs="仿宋"/>
          <w:sz w:val="24"/>
        </w:rPr>
      </w:pPr>
    </w:p>
    <w:p w14:paraId="770AAACE" w14:textId="77777777" w:rsidR="002E5B15" w:rsidRDefault="009C5419">
      <w:pPr>
        <w:pStyle w:val="2"/>
        <w:jc w:val="center"/>
        <w:rPr>
          <w:rFonts w:ascii="仿宋" w:eastAsia="仿宋" w:hAnsi="仿宋" w:cs="仿宋"/>
          <w:sz w:val="30"/>
        </w:rPr>
      </w:pPr>
      <w:bookmarkStart w:id="89" w:name="_Toc124325895"/>
      <w:r>
        <w:rPr>
          <w:rFonts w:ascii="仿宋" w:eastAsia="仿宋" w:hAnsi="仿宋" w:cs="仿宋" w:hint="eastAsia"/>
          <w:sz w:val="30"/>
        </w:rPr>
        <w:t>十一、基金费用</w:t>
      </w:r>
      <w:bookmarkEnd w:id="89"/>
    </w:p>
    <w:p w14:paraId="6F47872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（一）基金管理费的计提比例和计提方法</w:t>
      </w:r>
    </w:p>
    <w:p w14:paraId="261A1B1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基金管理人的管理费为基金管理人的固定管理费和基金管理人的业绩报酬之</w:t>
      </w:r>
      <w:proofErr w:type="gramStart"/>
      <w:r>
        <w:rPr>
          <w:rFonts w:ascii="仿宋" w:eastAsia="仿宋" w:hAnsi="仿宋" w:cs="仿宋" w:hint="eastAsia"/>
          <w:sz w:val="24"/>
        </w:rPr>
        <w:t>和</w:t>
      </w:r>
      <w:proofErr w:type="gramEnd"/>
      <w:r>
        <w:rPr>
          <w:rFonts w:ascii="仿宋" w:eastAsia="仿宋" w:hAnsi="仿宋" w:cs="仿宋" w:hint="eastAsia"/>
          <w:sz w:val="24"/>
        </w:rPr>
        <w:t>。其中，基金管理人的固定管理费和基金管理人的业绩报酬计提方法、计提标准和支付方式如下：</w:t>
      </w:r>
    </w:p>
    <w:p w14:paraId="528D6B4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1、基金管理人的固定管理费</w:t>
      </w:r>
    </w:p>
    <w:p w14:paraId="1658CE7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本基金的固定管理费按前一日基金资产净值的0.8%年费率计提。固定管理费的计算方法如下：</w:t>
      </w:r>
    </w:p>
    <w:p w14:paraId="67F699D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H＝E×0.8%÷当年天数</w:t>
      </w:r>
    </w:p>
    <w:p w14:paraId="7A79377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H为每日应计提的基金固定管理费</w:t>
      </w:r>
    </w:p>
    <w:p w14:paraId="17524A1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E为前一日的基金资产净值</w:t>
      </w:r>
    </w:p>
    <w:p w14:paraId="4AF2320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2、基金管理人业绩报酬</w:t>
      </w:r>
    </w:p>
    <w:p w14:paraId="4876C555"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lastRenderedPageBreak/>
        <w:t>1）基金管理人计提业绩报酬的原则</w:t>
      </w:r>
    </w:p>
    <w:p w14:paraId="0F7D38F4"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ab/>
        <w:t>1）基金管理人计提业绩报酬的原则</w:t>
      </w:r>
    </w:p>
    <w:p w14:paraId="51FEB1C5" w14:textId="77777777" w:rsidR="002E5B15" w:rsidRDefault="009C5419">
      <w:pPr>
        <w:spacing w:line="360" w:lineRule="auto"/>
        <w:rPr>
          <w:rFonts w:ascii="仿宋" w:eastAsia="仿宋" w:hAnsi="仿宋" w:cs="仿宋"/>
          <w:sz w:val="24"/>
        </w:rPr>
      </w:pPr>
      <w:r>
        <w:rPr>
          <w:rFonts w:ascii="仿宋" w:eastAsia="仿宋" w:hAnsi="仿宋" w:cs="仿宋" w:hint="eastAsia"/>
          <w:sz w:val="24"/>
        </w:rPr>
        <w:tab/>
        <w:t>① 本基金采用逐笔计提法计提业绩报酬，即本基金对每笔符合计提业绩报酬的基金份额单独</w:t>
      </w:r>
      <w:proofErr w:type="gramStart"/>
      <w:r>
        <w:rPr>
          <w:rFonts w:ascii="仿宋" w:eastAsia="仿宋" w:hAnsi="仿宋" w:cs="仿宋" w:hint="eastAsia"/>
          <w:sz w:val="24"/>
        </w:rPr>
        <w:t>计算年化收益率</w:t>
      </w:r>
      <w:proofErr w:type="gramEnd"/>
      <w:r>
        <w:rPr>
          <w:rFonts w:ascii="仿宋" w:eastAsia="仿宋" w:hAnsi="仿宋" w:cs="仿宋" w:hint="eastAsia"/>
          <w:sz w:val="24"/>
        </w:rPr>
        <w:t>并计提业绩报酬。</w:t>
      </w:r>
    </w:p>
    <w:p w14:paraId="32F6B732" w14:textId="77777777" w:rsidR="002E5B15" w:rsidRDefault="009C5419">
      <w:pPr>
        <w:spacing w:line="360" w:lineRule="auto"/>
        <w:ind w:firstLine="420"/>
        <w:rPr>
          <w:rFonts w:ascii="仿宋" w:eastAsia="仿宋" w:hAnsi="仿宋" w:cs="仿宋"/>
          <w:sz w:val="24"/>
        </w:rPr>
      </w:pPr>
      <w:r>
        <w:rPr>
          <w:rFonts w:ascii="仿宋" w:eastAsia="仿宋" w:hAnsi="仿宋" w:cs="仿宋" w:hint="eastAsia"/>
          <w:sz w:val="24"/>
        </w:rPr>
        <w:t>②在基金份额赎回和基金合同终止情形出现后（如本基金发生基金合同约定的合同终止情形并终止的，下同）对符合计提业绩报酬的基金份额计提业绩报酬。</w:t>
      </w:r>
    </w:p>
    <w:p w14:paraId="3DDED0D5" w14:textId="77777777" w:rsidR="002E5B15" w:rsidRDefault="009C5419">
      <w:pPr>
        <w:spacing w:line="360" w:lineRule="auto"/>
        <w:ind w:firstLine="420"/>
        <w:rPr>
          <w:rFonts w:ascii="仿宋" w:eastAsia="仿宋" w:hAnsi="仿宋" w:cs="仿宋"/>
          <w:sz w:val="24"/>
        </w:rPr>
      </w:pPr>
      <w:r>
        <w:rPr>
          <w:rFonts w:ascii="仿宋" w:eastAsia="仿宋" w:hAnsi="仿宋" w:cs="仿宋" w:hint="eastAsia"/>
          <w:sz w:val="24"/>
        </w:rPr>
        <w:t>③在投资人赎回基金份额时计提业绩报酬的，业绩报酬从赎回资金中扣除；本基金合同终止的，业绩报酬从清算资金中扣除；</w:t>
      </w:r>
    </w:p>
    <w:p w14:paraId="27FE42CA" w14:textId="77777777" w:rsidR="002E5B15" w:rsidRDefault="009C5419">
      <w:pPr>
        <w:spacing w:line="360" w:lineRule="auto"/>
        <w:ind w:firstLine="420"/>
        <w:rPr>
          <w:rFonts w:ascii="仿宋" w:eastAsia="仿宋" w:hAnsi="仿宋" w:cs="仿宋"/>
          <w:sz w:val="24"/>
        </w:rPr>
      </w:pPr>
      <w:r>
        <w:rPr>
          <w:rFonts w:ascii="仿宋" w:eastAsia="仿宋" w:hAnsi="仿宋" w:cs="仿宋" w:hint="eastAsia"/>
          <w:sz w:val="24"/>
        </w:rPr>
        <w:t>④投资人赎回基金份额时，本基金管理人按“先进先出”的原则，即按照投资人认购或申购基金份额的先后次序进行顺序赎回的方式确定赎回份额（需满足两年持有期），计算并计提赎回基金份额对应的业绩报酬；</w:t>
      </w:r>
    </w:p>
    <w:p w14:paraId="6054F6D4"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2）业绩报酬计提方法</w:t>
      </w:r>
    </w:p>
    <w:p w14:paraId="368E0CBE"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业绩报酬计提截止日为基金份额赎回申请日或基金合同最后运作日。每笔基金份额以该笔基金份额申购申请日（如该笔基金份额在募集期认购的，则为本基金合同生效日，下同）到业绩报酬计提截止日</w:t>
      </w:r>
      <w:proofErr w:type="gramStart"/>
      <w:r>
        <w:rPr>
          <w:rFonts w:ascii="仿宋" w:eastAsia="仿宋" w:hAnsi="仿宋" w:cs="仿宋" w:hint="eastAsia"/>
          <w:sz w:val="24"/>
        </w:rPr>
        <w:t>的年化收益率</w:t>
      </w:r>
      <w:proofErr w:type="gramEnd"/>
      <w:r>
        <w:rPr>
          <w:rFonts w:ascii="仿宋" w:eastAsia="仿宋" w:hAnsi="仿宋" w:cs="仿宋" w:hint="eastAsia"/>
          <w:sz w:val="24"/>
        </w:rPr>
        <w:t>R，作为计提业绩报酬的基准。</w:t>
      </w:r>
      <w:proofErr w:type="gramStart"/>
      <w:r>
        <w:rPr>
          <w:rFonts w:ascii="仿宋" w:eastAsia="仿宋" w:hAnsi="仿宋" w:cs="仿宋" w:hint="eastAsia"/>
          <w:sz w:val="24"/>
        </w:rPr>
        <w:t>年化收益率</w:t>
      </w:r>
      <w:proofErr w:type="gramEnd"/>
      <w:r>
        <w:rPr>
          <w:rFonts w:ascii="仿宋" w:eastAsia="仿宋" w:hAnsi="仿宋" w:cs="仿宋" w:hint="eastAsia"/>
          <w:sz w:val="24"/>
        </w:rPr>
        <w:t>R的计算公式如下：</w:t>
      </w:r>
    </w:p>
    <w:p w14:paraId="028B93D1" w14:textId="77777777" w:rsidR="002E5B15" w:rsidRDefault="009C5419">
      <w:pPr>
        <w:spacing w:line="360" w:lineRule="auto"/>
        <w:ind w:firstLineChars="200" w:firstLine="504"/>
        <w:rPr>
          <w:rFonts w:ascii="仿宋" w:eastAsia="仿宋" w:hAnsi="仿宋" w:cs="仿宋"/>
          <w:sz w:val="24"/>
        </w:rPr>
      </w:pPr>
      <m:oMathPara>
        <m:oMathParaPr>
          <m:jc m:val="centerGroup"/>
        </m:oMathParaPr>
        <m:oMath>
          <m:r>
            <m:rPr>
              <m:sty m:val="p"/>
            </m:rPr>
            <w:rPr>
              <w:rFonts w:ascii="Cambria Math" w:eastAsia="彩虹粗仿宋" w:hAnsi="Cambria Math" w:cs="Arial"/>
              <w:sz w:val="24"/>
            </w:rPr>
            <m:t>R</m:t>
          </m:r>
          <m:r>
            <m:rPr>
              <m:sty m:val="p"/>
            </m:rPr>
            <w:rPr>
              <w:rFonts w:ascii="Cambria Math" w:eastAsia="Cambria Math" w:hAnsi="Cambria Math" w:cs="Arial"/>
              <w:sz w:val="24"/>
            </w:rPr>
            <m:t>=</m:t>
          </m:r>
          <m:f>
            <m:fPr>
              <m:ctrlPr>
                <w:rPr>
                  <w:rFonts w:ascii="Cambria Math" w:eastAsia="Cambria Math" w:hAnsi="Cambria Math" w:cs="Arial"/>
                  <w:sz w:val="24"/>
                </w:rPr>
              </m:ctrlPr>
            </m:fPr>
            <m:num>
              <m:sSub>
                <m:sSubPr>
                  <m:ctrlPr>
                    <w:rPr>
                      <w:rFonts w:ascii="Cambria Math" w:eastAsia="Cambria Math" w:hAnsi="Cambria Math" w:cs="Arial"/>
                      <w:sz w:val="24"/>
                    </w:rPr>
                  </m:ctrlPr>
                </m:sSubPr>
                <m:e>
                  <m:r>
                    <m:rPr>
                      <m:sty m:val="p"/>
                    </m:rPr>
                    <w:rPr>
                      <w:rFonts w:ascii="Cambria Math" w:eastAsia="Cambria Math" w:hAnsi="Cambria Math" w:cs="Arial"/>
                      <w:sz w:val="24"/>
                    </w:rPr>
                    <m:t>V</m:t>
                  </m:r>
                </m:e>
                <m:sub>
                  <m:r>
                    <m:rPr>
                      <m:sty m:val="p"/>
                    </m:rPr>
                    <w:rPr>
                      <w:rFonts w:ascii="Cambria Math" w:eastAsia="Cambria Math" w:hAnsi="Cambria Math" w:cs="Arial"/>
                      <w:sz w:val="24"/>
                    </w:rPr>
                    <m:t>1</m:t>
                  </m:r>
                </m:sub>
              </m:sSub>
              <m:r>
                <m:rPr>
                  <m:sty m:val="p"/>
                </m:rPr>
                <w:rPr>
                  <w:rFonts w:ascii="Cambria Math" w:eastAsia="Cambria Math" w:hAnsi="Cambria Math" w:cs="Arial"/>
                  <w:sz w:val="24"/>
                </w:rPr>
                <m:t>-</m:t>
              </m:r>
              <m:sSub>
                <m:sSubPr>
                  <m:ctrlPr>
                    <w:rPr>
                      <w:rFonts w:ascii="Cambria Math" w:eastAsia="Cambria Math" w:hAnsi="Cambria Math" w:cs="Arial"/>
                      <w:sz w:val="24"/>
                    </w:rPr>
                  </m:ctrlPr>
                </m:sSubPr>
                <m:e>
                  <m:r>
                    <m:rPr>
                      <m:sty m:val="p"/>
                    </m:rPr>
                    <w:rPr>
                      <w:rFonts w:ascii="Cambria Math" w:eastAsia="Cambria Math" w:hAnsi="Cambria Math" w:cs="Arial"/>
                      <w:sz w:val="24"/>
                    </w:rPr>
                    <m:t>V</m:t>
                  </m:r>
                </m:e>
                <m:sub>
                  <m:r>
                    <m:rPr>
                      <m:sty m:val="p"/>
                    </m:rPr>
                    <w:rPr>
                      <w:rFonts w:ascii="Cambria Math" w:eastAsia="Cambria Math" w:hAnsi="Cambria Math" w:cs="Arial"/>
                      <w:sz w:val="24"/>
                    </w:rPr>
                    <m:t>0</m:t>
                  </m:r>
                </m:sub>
              </m:sSub>
            </m:num>
            <m:den>
              <m:sSubSup>
                <m:sSubSupPr>
                  <m:ctrlPr>
                    <w:rPr>
                      <w:rFonts w:ascii="Cambria Math" w:eastAsia="Cambria Math" w:hAnsi="Cambria Math" w:cs="Arial"/>
                      <w:sz w:val="24"/>
                    </w:rPr>
                  </m:ctrlPr>
                </m:sSubSupPr>
                <m:e>
                  <m:r>
                    <m:rPr>
                      <m:sty m:val="p"/>
                    </m:rPr>
                    <w:rPr>
                      <w:rFonts w:ascii="Cambria Math" w:eastAsia="Cambria Math" w:hAnsi="Cambria Math" w:cs="Arial"/>
                      <w:sz w:val="24"/>
                    </w:rPr>
                    <m:t>V</m:t>
                  </m:r>
                </m:e>
                <m:sub>
                  <m:r>
                    <m:rPr>
                      <m:sty m:val="p"/>
                    </m:rPr>
                    <w:rPr>
                      <w:rFonts w:ascii="Cambria Math" w:eastAsia="Cambria Math" w:hAnsi="Cambria Math" w:cs="Arial"/>
                      <w:sz w:val="24"/>
                    </w:rPr>
                    <m:t>0</m:t>
                  </m:r>
                </m:sub>
                <m:sup>
                  <m:r>
                    <m:rPr>
                      <m:sty m:val="p"/>
                    </m:rPr>
                    <w:rPr>
                      <w:rFonts w:ascii="Cambria Math" w:eastAsia="Cambria Math" w:hAnsi="Cambria Math" w:cs="Arial"/>
                      <w:sz w:val="24"/>
                    </w:rPr>
                    <m:t>*</m:t>
                  </m:r>
                </m:sup>
              </m:sSubSup>
            </m:den>
          </m:f>
          <m:r>
            <m:rPr>
              <m:sty m:val="p"/>
            </m:rPr>
            <w:rPr>
              <w:rFonts w:ascii="Cambria Math" w:eastAsia="Cambria Math" w:hAnsi="Cambria Math" w:cs="Arial" w:hint="eastAsia"/>
              <w:sz w:val="24"/>
            </w:rPr>
            <m:t>×</m:t>
          </m:r>
          <m:r>
            <m:rPr>
              <m:sty m:val="p"/>
            </m:rPr>
            <w:rPr>
              <w:rFonts w:ascii="Cambria Math" w:eastAsia="Cambria Math" w:hAnsi="Cambria Math" w:cs="Arial"/>
              <w:sz w:val="24"/>
            </w:rPr>
            <m:t>365</m:t>
          </m:r>
          <m:r>
            <m:rPr>
              <m:sty m:val="p"/>
            </m:rPr>
            <w:rPr>
              <w:rFonts w:ascii="Cambria Math" w:eastAsia="Cambria Math" w:hAnsi="Cambria Math" w:cs="Arial" w:hint="eastAsia"/>
              <w:sz w:val="24"/>
            </w:rPr>
            <m:t>÷</m:t>
          </m:r>
          <m:r>
            <m:rPr>
              <m:sty m:val="p"/>
            </m:rPr>
            <w:rPr>
              <w:rFonts w:ascii="Cambria Math" w:eastAsia="Cambria Math" w:hAnsi="Cambria Math" w:cs="Arial"/>
              <w:sz w:val="24"/>
            </w:rPr>
            <m:t>T</m:t>
          </m:r>
          <m:r>
            <m:rPr>
              <m:sty m:val="p"/>
            </m:rPr>
            <w:rPr>
              <w:rFonts w:ascii="Cambria Math" w:eastAsia="Cambria Math" w:hAnsi="Cambria Math" w:cs="Arial" w:hint="eastAsia"/>
              <w:sz w:val="24"/>
            </w:rPr>
            <m:t>×</m:t>
          </m:r>
          <m:r>
            <m:rPr>
              <m:sty m:val="p"/>
            </m:rPr>
            <w:rPr>
              <w:rFonts w:ascii="Cambria Math" w:eastAsia="Cambria Math" w:hAnsi="Cambria Math" w:cs="Arial"/>
              <w:sz w:val="24"/>
            </w:rPr>
            <m:t>100%</m:t>
          </m:r>
        </m:oMath>
      </m:oMathPara>
    </w:p>
    <w:p w14:paraId="3FB274A5" w14:textId="77777777" w:rsidR="002E5B15" w:rsidRDefault="00EB6512">
      <w:pPr>
        <w:spacing w:line="360" w:lineRule="auto"/>
        <w:ind w:firstLineChars="200" w:firstLine="504"/>
        <w:rPr>
          <w:rFonts w:ascii="仿宋" w:eastAsia="仿宋" w:hAnsi="仿宋" w:cs="仿宋"/>
          <w:sz w:val="24"/>
        </w:rPr>
      </w:pPr>
      <m:oMath>
        <m:sSub>
          <m:sSubPr>
            <m:ctrlPr>
              <w:rPr>
                <w:rFonts w:ascii="Cambria Math" w:eastAsia="彩虹粗仿宋" w:hAnsi="Cambria Math" w:cs="Arial"/>
                <w:sz w:val="24"/>
              </w:rPr>
            </m:ctrlPr>
          </m:sSubPr>
          <m:e>
            <m:r>
              <m:rPr>
                <m:sty m:val="p"/>
              </m:rPr>
              <w:rPr>
                <w:rFonts w:ascii="Cambria Math" w:eastAsia="彩虹粗仿宋" w:hAnsi="Cambria Math" w:cs="Arial"/>
                <w:sz w:val="24"/>
              </w:rPr>
              <m:t>V</m:t>
            </m:r>
          </m:e>
          <m:sub>
            <m:r>
              <m:rPr>
                <m:sty m:val="p"/>
              </m:rPr>
              <w:rPr>
                <w:rFonts w:ascii="Cambria Math" w:eastAsia="彩虹粗仿宋" w:hAnsi="Cambria Math" w:cs="Arial"/>
                <w:sz w:val="24"/>
              </w:rPr>
              <m:t>1</m:t>
            </m:r>
          </m:sub>
        </m:sSub>
      </m:oMath>
      <w:r w:rsidR="009C5419">
        <w:rPr>
          <w:rFonts w:ascii="仿宋" w:eastAsia="仿宋" w:hAnsi="仿宋" w:cs="仿宋" w:hint="eastAsia"/>
          <w:sz w:val="24"/>
        </w:rPr>
        <w:t>为业绩报酬计提截止日适用的基金份额累计净值；</w:t>
      </w:r>
    </w:p>
    <w:p w14:paraId="3C31AEDE" w14:textId="77777777" w:rsidR="002E5B15" w:rsidRDefault="00EB6512">
      <w:pPr>
        <w:spacing w:line="360" w:lineRule="auto"/>
        <w:ind w:firstLineChars="200" w:firstLine="504"/>
        <w:rPr>
          <w:rFonts w:ascii="仿宋" w:eastAsia="仿宋" w:hAnsi="仿宋" w:cs="仿宋"/>
          <w:sz w:val="24"/>
        </w:rPr>
      </w:pPr>
      <m:oMath>
        <m:sSub>
          <m:sSubPr>
            <m:ctrlPr>
              <w:rPr>
                <w:rFonts w:ascii="Cambria Math" w:eastAsia="彩虹粗仿宋" w:hAnsi="Cambria Math" w:cs="Arial"/>
                <w:sz w:val="24"/>
              </w:rPr>
            </m:ctrlPr>
          </m:sSubPr>
          <m:e>
            <m:r>
              <m:rPr>
                <m:sty m:val="p"/>
              </m:rPr>
              <w:rPr>
                <w:rFonts w:ascii="Cambria Math" w:eastAsia="彩虹粗仿宋" w:hAnsi="Cambria Math" w:cs="Arial"/>
                <w:sz w:val="24"/>
              </w:rPr>
              <m:t>V</m:t>
            </m:r>
          </m:e>
          <m:sub>
            <m:r>
              <m:rPr>
                <m:sty m:val="p"/>
              </m:rPr>
              <w:rPr>
                <w:rFonts w:ascii="Cambria Math" w:eastAsia="彩虹粗仿宋" w:hAnsi="Cambria Math" w:cs="Arial"/>
                <w:sz w:val="24"/>
              </w:rPr>
              <m:t>0</m:t>
            </m:r>
          </m:sub>
        </m:sSub>
      </m:oMath>
      <w:r w:rsidR="009C5419">
        <w:rPr>
          <w:rFonts w:ascii="仿宋" w:eastAsia="仿宋" w:hAnsi="仿宋" w:cs="仿宋" w:hint="eastAsia"/>
          <w:sz w:val="24"/>
        </w:rPr>
        <w:t>为申购申请日适用的基金份额累计净值，基金合同生效日的基金份额净值为1.00元（下同）；</w:t>
      </w:r>
    </w:p>
    <w:p w14:paraId="590E4BB8" w14:textId="77777777" w:rsidR="002E5B15" w:rsidRDefault="00EB6512">
      <w:pPr>
        <w:spacing w:line="360" w:lineRule="auto"/>
        <w:ind w:firstLineChars="200" w:firstLine="480"/>
        <w:rPr>
          <w:rFonts w:ascii="仿宋" w:eastAsia="仿宋" w:hAnsi="仿宋" w:cs="仿宋"/>
          <w:sz w:val="24"/>
        </w:rPr>
      </w:pPr>
      <m:oMath>
        <m:sSubSup>
          <m:sSubSupPr>
            <m:ctrlPr>
              <w:rPr>
                <w:rFonts w:ascii="Cambria Math" w:eastAsia="Cambria Math" w:hAnsi="Cambria Math" w:cs="Arial"/>
                <w:sz w:val="24"/>
              </w:rPr>
            </m:ctrlPr>
          </m:sSubSupPr>
          <m:e>
            <m:r>
              <m:rPr>
                <m:sty m:val="p"/>
              </m:rPr>
              <w:rPr>
                <w:rFonts w:ascii="Cambria Math" w:eastAsia="Cambria Math" w:hAnsi="Cambria Math" w:cs="Arial"/>
                <w:sz w:val="24"/>
              </w:rPr>
              <m:t>V</m:t>
            </m:r>
          </m:e>
          <m:sub>
            <m:r>
              <m:rPr>
                <m:sty m:val="p"/>
              </m:rPr>
              <w:rPr>
                <w:rFonts w:ascii="Cambria Math" w:eastAsia="Cambria Math" w:hAnsi="Cambria Math" w:cs="Arial"/>
                <w:sz w:val="24"/>
              </w:rPr>
              <m:t>0</m:t>
            </m:r>
          </m:sub>
          <m:sup>
            <m:r>
              <m:rPr>
                <m:sty m:val="p"/>
              </m:rPr>
              <w:rPr>
                <w:rFonts w:ascii="Cambria Math" w:eastAsia="Cambria Math" w:hAnsi="Cambria Math" w:cs="Arial"/>
                <w:sz w:val="24"/>
              </w:rPr>
              <m:t>*</m:t>
            </m:r>
          </m:sup>
        </m:sSubSup>
      </m:oMath>
      <w:r w:rsidR="009C5419">
        <w:rPr>
          <w:rFonts w:ascii="仿宋" w:eastAsia="仿宋" w:hAnsi="仿宋" w:cs="仿宋" w:hint="eastAsia"/>
          <w:sz w:val="24"/>
        </w:rPr>
        <w:t>为申购申请日适用的基金份额净值；</w:t>
      </w:r>
    </w:p>
    <w:p w14:paraId="147BC037"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T为该笔基金份额此次计提业绩报酬区间内的持有天数：即， T为申购申请</w:t>
      </w:r>
      <w:r>
        <w:rPr>
          <w:rFonts w:ascii="仿宋" w:eastAsia="仿宋" w:hAnsi="仿宋" w:cs="仿宋" w:hint="eastAsia"/>
          <w:sz w:val="24"/>
        </w:rPr>
        <w:lastRenderedPageBreak/>
        <w:t xml:space="preserve">日至业绩报酬计提截止日的持有期间； </w:t>
      </w:r>
    </w:p>
    <w:p w14:paraId="6A89C6CF"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R为每笔基金份额在此业绩报酬计提期间</w:t>
      </w:r>
      <w:proofErr w:type="gramStart"/>
      <w:r>
        <w:rPr>
          <w:rFonts w:ascii="仿宋" w:eastAsia="仿宋" w:hAnsi="仿宋" w:cs="仿宋" w:hint="eastAsia"/>
          <w:sz w:val="24"/>
        </w:rPr>
        <w:t>的年化收益率</w:t>
      </w:r>
      <w:proofErr w:type="gramEnd"/>
      <w:r>
        <w:rPr>
          <w:rFonts w:ascii="仿宋" w:eastAsia="仿宋" w:hAnsi="仿宋" w:cs="仿宋" w:hint="eastAsia"/>
          <w:sz w:val="24"/>
        </w:rPr>
        <w:t>。</w:t>
      </w:r>
    </w:p>
    <w:p w14:paraId="429CE251" w14:textId="77777777" w:rsidR="002E5B15" w:rsidRDefault="009C5419">
      <w:pPr>
        <w:spacing w:line="360" w:lineRule="auto"/>
        <w:rPr>
          <w:rFonts w:ascii="仿宋" w:eastAsia="仿宋" w:hAnsi="仿宋" w:cs="仿宋"/>
          <w:sz w:val="24"/>
        </w:rPr>
      </w:pPr>
      <w:r>
        <w:rPr>
          <w:rFonts w:ascii="仿宋" w:eastAsia="仿宋" w:hAnsi="仿宋" w:cs="仿宋" w:hint="eastAsia"/>
          <w:sz w:val="24"/>
        </w:rPr>
        <w:t>每笔基金份额的业绩报酬计算方式如下：</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200"/>
        <w:gridCol w:w="1560"/>
        <w:gridCol w:w="4840"/>
      </w:tblGrid>
      <w:tr w:rsidR="002E5B15" w14:paraId="0985A6A9" w14:textId="77777777">
        <w:trPr>
          <w:trHeight w:val="308"/>
        </w:trPr>
        <w:tc>
          <w:tcPr>
            <w:tcW w:w="3200" w:type="dxa"/>
            <w:shd w:val="clear" w:color="auto" w:fill="auto"/>
            <w:tcMar>
              <w:top w:w="72" w:type="dxa"/>
              <w:left w:w="144" w:type="dxa"/>
              <w:bottom w:w="72" w:type="dxa"/>
              <w:right w:w="144" w:type="dxa"/>
            </w:tcMar>
          </w:tcPr>
          <w:p w14:paraId="17A32594" w14:textId="77777777" w:rsidR="002E5B15" w:rsidRDefault="009C5419">
            <w:pPr>
              <w:widowControl/>
              <w:spacing w:line="308" w:lineRule="atLeast"/>
              <w:jc w:val="left"/>
              <w:rPr>
                <w:rFonts w:ascii="仿宋" w:eastAsia="仿宋" w:hAnsi="仿宋" w:cs="仿宋"/>
                <w:sz w:val="24"/>
              </w:rPr>
            </w:pPr>
            <w:proofErr w:type="gramStart"/>
            <w:r>
              <w:rPr>
                <w:rFonts w:ascii="仿宋" w:eastAsia="仿宋" w:hAnsi="仿宋" w:cs="仿宋" w:hint="eastAsia"/>
                <w:sz w:val="24"/>
              </w:rPr>
              <w:t>年化收益率</w:t>
            </w:r>
            <w:proofErr w:type="gramEnd"/>
            <w:r>
              <w:rPr>
                <w:rFonts w:ascii="仿宋" w:eastAsia="仿宋" w:hAnsi="仿宋" w:cs="仿宋" w:hint="eastAsia"/>
                <w:sz w:val="24"/>
              </w:rPr>
              <w:t>（R）</w:t>
            </w:r>
          </w:p>
        </w:tc>
        <w:tc>
          <w:tcPr>
            <w:tcW w:w="1560" w:type="dxa"/>
            <w:shd w:val="clear" w:color="auto" w:fill="auto"/>
            <w:tcMar>
              <w:top w:w="72" w:type="dxa"/>
              <w:left w:w="144" w:type="dxa"/>
              <w:bottom w:w="72" w:type="dxa"/>
              <w:right w:w="144" w:type="dxa"/>
            </w:tcMar>
          </w:tcPr>
          <w:p w14:paraId="68E564AC" w14:textId="77777777" w:rsidR="002E5B15" w:rsidRDefault="009C5419">
            <w:pPr>
              <w:widowControl/>
              <w:spacing w:line="308" w:lineRule="atLeast"/>
              <w:jc w:val="left"/>
              <w:rPr>
                <w:rFonts w:ascii="仿宋" w:eastAsia="仿宋" w:hAnsi="仿宋" w:cs="仿宋"/>
                <w:sz w:val="24"/>
              </w:rPr>
            </w:pPr>
            <w:r>
              <w:rPr>
                <w:rFonts w:ascii="仿宋" w:eastAsia="仿宋" w:hAnsi="仿宋" w:cs="仿宋" w:hint="eastAsia"/>
                <w:sz w:val="24"/>
              </w:rPr>
              <w:t>区间计提比例</w:t>
            </w:r>
          </w:p>
        </w:tc>
        <w:tc>
          <w:tcPr>
            <w:tcW w:w="4840" w:type="dxa"/>
            <w:shd w:val="clear" w:color="auto" w:fill="auto"/>
            <w:tcMar>
              <w:top w:w="72" w:type="dxa"/>
              <w:left w:w="144" w:type="dxa"/>
              <w:bottom w:w="72" w:type="dxa"/>
              <w:right w:w="144" w:type="dxa"/>
            </w:tcMar>
          </w:tcPr>
          <w:p w14:paraId="43540662" w14:textId="77777777" w:rsidR="002E5B15" w:rsidRDefault="009C5419">
            <w:pPr>
              <w:widowControl/>
              <w:spacing w:line="308" w:lineRule="atLeast"/>
              <w:jc w:val="left"/>
              <w:rPr>
                <w:rFonts w:ascii="仿宋" w:eastAsia="仿宋" w:hAnsi="仿宋" w:cs="仿宋"/>
                <w:sz w:val="24"/>
              </w:rPr>
            </w:pPr>
            <w:r>
              <w:rPr>
                <w:rFonts w:ascii="仿宋" w:eastAsia="仿宋" w:hAnsi="仿宋" w:cs="仿宋" w:hint="eastAsia"/>
                <w:sz w:val="24"/>
              </w:rPr>
              <w:t>每笔基金份额的业绩报酬（Y）的计提公式</w:t>
            </w:r>
          </w:p>
        </w:tc>
      </w:tr>
      <w:tr w:rsidR="002E5B15" w14:paraId="2531164C" w14:textId="77777777">
        <w:trPr>
          <w:trHeight w:val="308"/>
        </w:trPr>
        <w:tc>
          <w:tcPr>
            <w:tcW w:w="3200" w:type="dxa"/>
            <w:shd w:val="clear" w:color="auto" w:fill="FFFFFF"/>
            <w:tcMar>
              <w:top w:w="72" w:type="dxa"/>
              <w:left w:w="144" w:type="dxa"/>
              <w:bottom w:w="72" w:type="dxa"/>
              <w:right w:w="144" w:type="dxa"/>
            </w:tcMar>
          </w:tcPr>
          <w:p w14:paraId="675758B1" w14:textId="77777777" w:rsidR="002E5B15" w:rsidRDefault="009C5419">
            <w:pPr>
              <w:widowControl/>
              <w:spacing w:line="308" w:lineRule="atLeast"/>
              <w:jc w:val="left"/>
              <w:rPr>
                <w:rFonts w:ascii="仿宋" w:eastAsia="仿宋" w:hAnsi="仿宋" w:cs="仿宋"/>
                <w:sz w:val="24"/>
              </w:rPr>
            </w:pPr>
            <w:r>
              <w:rPr>
                <w:rFonts w:ascii="仿宋" w:eastAsia="仿宋" w:hAnsi="仿宋" w:cs="仿宋" w:hint="eastAsia"/>
                <w:sz w:val="24"/>
              </w:rPr>
              <w:t>R &lt; 8%</w:t>
            </w:r>
          </w:p>
        </w:tc>
        <w:tc>
          <w:tcPr>
            <w:tcW w:w="1560" w:type="dxa"/>
            <w:shd w:val="clear" w:color="auto" w:fill="FFFFFF"/>
            <w:tcMar>
              <w:top w:w="72" w:type="dxa"/>
              <w:left w:w="144" w:type="dxa"/>
              <w:bottom w:w="72" w:type="dxa"/>
              <w:right w:w="144" w:type="dxa"/>
            </w:tcMar>
          </w:tcPr>
          <w:p w14:paraId="1CF25A17" w14:textId="77777777" w:rsidR="002E5B15" w:rsidRDefault="009C5419">
            <w:pPr>
              <w:widowControl/>
              <w:spacing w:line="308" w:lineRule="atLeast"/>
              <w:jc w:val="left"/>
              <w:rPr>
                <w:rFonts w:ascii="仿宋" w:eastAsia="仿宋" w:hAnsi="仿宋" w:cs="仿宋"/>
                <w:sz w:val="24"/>
              </w:rPr>
            </w:pPr>
            <w:r>
              <w:rPr>
                <w:rFonts w:ascii="仿宋" w:eastAsia="仿宋" w:hAnsi="仿宋" w:cs="仿宋" w:hint="eastAsia"/>
                <w:sz w:val="24"/>
              </w:rPr>
              <w:t>0</w:t>
            </w:r>
          </w:p>
        </w:tc>
        <w:tc>
          <w:tcPr>
            <w:tcW w:w="4840" w:type="dxa"/>
            <w:shd w:val="clear" w:color="auto" w:fill="FFFFFF"/>
            <w:tcMar>
              <w:top w:w="72" w:type="dxa"/>
              <w:left w:w="144" w:type="dxa"/>
              <w:bottom w:w="72" w:type="dxa"/>
              <w:right w:w="144" w:type="dxa"/>
            </w:tcMar>
          </w:tcPr>
          <w:p w14:paraId="1876EB64" w14:textId="77777777" w:rsidR="002E5B15" w:rsidRDefault="009C5419">
            <w:pPr>
              <w:widowControl/>
              <w:spacing w:line="308" w:lineRule="atLeast"/>
              <w:jc w:val="left"/>
              <w:rPr>
                <w:rFonts w:ascii="仿宋" w:eastAsia="仿宋" w:hAnsi="仿宋" w:cs="仿宋"/>
                <w:sz w:val="24"/>
              </w:rPr>
            </w:pPr>
            <w:r>
              <w:rPr>
                <w:rFonts w:ascii="仿宋" w:eastAsia="仿宋" w:hAnsi="仿宋" w:cs="仿宋" w:hint="eastAsia"/>
                <w:sz w:val="24"/>
              </w:rPr>
              <w:t>Y= 0</w:t>
            </w:r>
          </w:p>
        </w:tc>
      </w:tr>
      <w:tr w:rsidR="002E5B15" w14:paraId="789C145B" w14:textId="77777777">
        <w:trPr>
          <w:trHeight w:val="837"/>
        </w:trPr>
        <w:tc>
          <w:tcPr>
            <w:tcW w:w="3200" w:type="dxa"/>
            <w:shd w:val="clear" w:color="auto" w:fill="FFFFFF"/>
            <w:tcMar>
              <w:top w:w="72" w:type="dxa"/>
              <w:left w:w="144" w:type="dxa"/>
              <w:bottom w:w="72" w:type="dxa"/>
              <w:right w:w="144" w:type="dxa"/>
            </w:tcMar>
          </w:tcPr>
          <w:p w14:paraId="67313993" w14:textId="77777777" w:rsidR="002E5B15" w:rsidRDefault="009C5419">
            <w:pPr>
              <w:widowControl/>
              <w:jc w:val="left"/>
              <w:rPr>
                <w:rFonts w:ascii="仿宋" w:eastAsia="仿宋" w:hAnsi="仿宋" w:cs="仿宋"/>
                <w:sz w:val="24"/>
              </w:rPr>
            </w:pPr>
            <w:r>
              <w:rPr>
                <w:rFonts w:ascii="仿宋" w:eastAsia="仿宋" w:hAnsi="仿宋" w:cs="仿宋" w:hint="eastAsia"/>
                <w:sz w:val="24"/>
              </w:rPr>
              <w:t>8%≤ R</w:t>
            </w:r>
          </w:p>
        </w:tc>
        <w:tc>
          <w:tcPr>
            <w:tcW w:w="1560" w:type="dxa"/>
            <w:shd w:val="clear" w:color="auto" w:fill="FFFFFF"/>
            <w:tcMar>
              <w:top w:w="72" w:type="dxa"/>
              <w:left w:w="144" w:type="dxa"/>
              <w:bottom w:w="72" w:type="dxa"/>
              <w:right w:w="144" w:type="dxa"/>
            </w:tcMar>
          </w:tcPr>
          <w:p w14:paraId="667A9FAE" w14:textId="77777777" w:rsidR="002E5B15" w:rsidRDefault="009C5419">
            <w:pPr>
              <w:widowControl/>
              <w:jc w:val="left"/>
              <w:rPr>
                <w:rFonts w:ascii="仿宋" w:eastAsia="仿宋" w:hAnsi="仿宋" w:cs="仿宋"/>
                <w:sz w:val="24"/>
              </w:rPr>
            </w:pPr>
            <w:r>
              <w:rPr>
                <w:rFonts w:ascii="仿宋" w:eastAsia="仿宋" w:hAnsi="仿宋" w:cs="仿宋" w:hint="eastAsia"/>
                <w:sz w:val="24"/>
              </w:rPr>
              <w:t>20%</w:t>
            </w:r>
          </w:p>
        </w:tc>
        <w:tc>
          <w:tcPr>
            <w:tcW w:w="4840" w:type="dxa"/>
            <w:shd w:val="clear" w:color="auto" w:fill="FFFFFF"/>
            <w:tcMar>
              <w:top w:w="72" w:type="dxa"/>
              <w:left w:w="144" w:type="dxa"/>
              <w:bottom w:w="72" w:type="dxa"/>
              <w:right w:w="144" w:type="dxa"/>
            </w:tcMar>
          </w:tcPr>
          <w:p w14:paraId="094CC9E7" w14:textId="77777777" w:rsidR="002E5B15" w:rsidRDefault="009C5419">
            <w:pPr>
              <w:rPr>
                <w:rFonts w:ascii="仿宋" w:eastAsia="仿宋" w:hAnsi="仿宋" w:cs="仿宋"/>
                <w:sz w:val="24"/>
              </w:rPr>
            </w:pPr>
            <m:oMathPara>
              <m:oMath>
                <m:r>
                  <m:rPr>
                    <m:sty m:val="p"/>
                  </m:rPr>
                  <w:rPr>
                    <w:rFonts w:ascii="Cambria Math" w:eastAsia="彩虹粗仿宋" w:hAnsi="Cambria Math" w:cs="Arial"/>
                    <w:sz w:val="24"/>
                  </w:rPr>
                  <m:t xml:space="preserve">Y =F </m:t>
                </m:r>
                <m:r>
                  <m:rPr>
                    <m:sty m:val="p"/>
                  </m:rPr>
                  <w:rPr>
                    <w:rFonts w:ascii="Cambria Math" w:eastAsia="彩虹粗仿宋" w:hAnsi="Cambria Math" w:cs="Arial" w:hint="eastAsia"/>
                    <w:sz w:val="24"/>
                  </w:rPr>
                  <m:t>×</m:t>
                </m:r>
                <m:r>
                  <m:rPr>
                    <m:sty m:val="p"/>
                  </m:rPr>
                  <w:rPr>
                    <w:rFonts w:ascii="Cambria Math" w:eastAsia="彩虹粗仿宋" w:hAnsi="Cambria Math" w:cs="Arial"/>
                    <w:sz w:val="24"/>
                  </w:rPr>
                  <m:t xml:space="preserve"> </m:t>
                </m:r>
                <m:sSubSup>
                  <m:sSubSupPr>
                    <m:ctrlPr>
                      <w:rPr>
                        <w:rFonts w:ascii="Cambria Math" w:eastAsia="彩虹粗仿宋" w:hAnsi="Cambria Math" w:cs="Arial"/>
                        <w:sz w:val="24"/>
                      </w:rPr>
                    </m:ctrlPr>
                  </m:sSubSupPr>
                  <m:e>
                    <m:r>
                      <m:rPr>
                        <m:sty m:val="p"/>
                      </m:rPr>
                      <w:rPr>
                        <w:rFonts w:ascii="Cambria Math" w:eastAsia="彩虹粗仿宋" w:hAnsi="Cambria Math" w:cs="Arial"/>
                        <w:sz w:val="24"/>
                      </w:rPr>
                      <m:t>V</m:t>
                    </m:r>
                  </m:e>
                  <m:sub>
                    <m:r>
                      <m:rPr>
                        <m:sty m:val="p"/>
                      </m:rPr>
                      <w:rPr>
                        <w:rFonts w:ascii="Cambria Math" w:eastAsia="彩虹粗仿宋" w:hAnsi="Cambria Math" w:cs="Arial"/>
                        <w:sz w:val="24"/>
                      </w:rPr>
                      <m:t>0</m:t>
                    </m:r>
                  </m:sub>
                  <m:sup>
                    <m:r>
                      <m:rPr>
                        <m:sty m:val="p"/>
                      </m:rPr>
                      <w:rPr>
                        <w:rFonts w:ascii="Cambria Math" w:eastAsia="彩虹粗仿宋" w:hAnsi="Cambria Math" w:cs="Arial"/>
                        <w:sz w:val="24"/>
                      </w:rPr>
                      <m:t>*</m:t>
                    </m:r>
                  </m:sup>
                </m:sSubSup>
                <m:r>
                  <m:rPr>
                    <m:sty m:val="p"/>
                  </m:rPr>
                  <w:rPr>
                    <w:rFonts w:ascii="Cambria Math" w:eastAsia="彩虹粗仿宋" w:hAnsi="Cambria Math" w:cs="Arial"/>
                    <w:sz w:val="24"/>
                  </w:rPr>
                  <m:t xml:space="preserve"> </m:t>
                </m:r>
                <m:r>
                  <m:rPr>
                    <m:sty m:val="p"/>
                  </m:rPr>
                  <w:rPr>
                    <w:rFonts w:ascii="Cambria Math" w:eastAsia="彩虹粗仿宋" w:hAnsi="Cambria Math" w:cs="Arial" w:hint="eastAsia"/>
                    <w:sz w:val="24"/>
                  </w:rPr>
                  <m:t>×</m:t>
                </m:r>
                <m:d>
                  <m:dPr>
                    <m:begChr m:val="（"/>
                    <m:endChr m:val="）"/>
                    <m:ctrlPr>
                      <w:rPr>
                        <w:rFonts w:ascii="Cambria Math" w:eastAsia="彩虹粗仿宋" w:hAnsi="Cambria Math" w:cs="Arial"/>
                        <w:sz w:val="24"/>
                      </w:rPr>
                    </m:ctrlPr>
                  </m:dPr>
                  <m:e>
                    <m:r>
                      <m:rPr>
                        <m:sty m:val="p"/>
                      </m:rPr>
                      <w:rPr>
                        <w:rFonts w:ascii="Cambria Math" w:eastAsia="彩虹粗仿宋" w:hAnsi="Cambria Math" w:cs="Arial"/>
                        <w:sz w:val="24"/>
                      </w:rPr>
                      <m:t>R -8%</m:t>
                    </m:r>
                  </m:e>
                </m:d>
                <m:r>
                  <m:rPr>
                    <m:sty m:val="p"/>
                  </m:rPr>
                  <w:rPr>
                    <w:rFonts w:ascii="Cambria Math" w:eastAsia="彩虹粗仿宋" w:hAnsi="Cambria Math" w:cs="Arial" w:hint="eastAsia"/>
                    <w:sz w:val="24"/>
                  </w:rPr>
                  <m:t>×</m:t>
                </m:r>
                <m:r>
                  <m:rPr>
                    <m:sty m:val="p"/>
                  </m:rPr>
                  <w:rPr>
                    <w:rFonts w:ascii="Cambria Math" w:eastAsia="彩虹粗仿宋" w:hAnsi="Cambria Math" w:cs="Arial"/>
                    <w:sz w:val="24"/>
                  </w:rPr>
                  <m:t xml:space="preserve">20% </m:t>
                </m:r>
                <m:r>
                  <m:rPr>
                    <m:sty m:val="p"/>
                  </m:rPr>
                  <w:rPr>
                    <w:rFonts w:ascii="Cambria Math" w:eastAsia="彩虹粗仿宋" w:hAnsi="Cambria Math" w:cs="Arial" w:hint="eastAsia"/>
                    <w:sz w:val="24"/>
                  </w:rPr>
                  <m:t>×</m:t>
                </m:r>
                <m:r>
                  <m:rPr>
                    <m:sty m:val="p"/>
                  </m:rPr>
                  <w:rPr>
                    <w:rFonts w:ascii="Cambria Math" w:eastAsia="彩虹粗仿宋" w:hAnsi="Cambria Math" w:cs="Arial"/>
                    <w:sz w:val="24"/>
                  </w:rPr>
                  <m:t xml:space="preserve">T </m:t>
                </m:r>
                <m:r>
                  <m:rPr>
                    <m:sty m:val="p"/>
                  </m:rPr>
                  <w:rPr>
                    <w:rFonts w:ascii="Cambria Math" w:eastAsia="彩虹粗仿宋" w:hAnsi="Cambria Math" w:cs="Arial" w:hint="eastAsia"/>
                    <w:sz w:val="24"/>
                  </w:rPr>
                  <m:t>÷</m:t>
                </m:r>
                <m:r>
                  <m:rPr>
                    <m:sty m:val="p"/>
                  </m:rPr>
                  <w:rPr>
                    <w:rFonts w:ascii="Cambria Math" w:eastAsia="彩虹粗仿宋" w:hAnsi="Cambria Math" w:cs="Arial"/>
                    <w:sz w:val="24"/>
                  </w:rPr>
                  <m:t>365</m:t>
                </m:r>
              </m:oMath>
            </m:oMathPara>
          </w:p>
          <w:p w14:paraId="61EA67C6" w14:textId="77777777" w:rsidR="002E5B15" w:rsidRDefault="009C5419">
            <w:pPr>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QUOTE </w:instrText>
            </w:r>
            <m:oMath>
              <m:r>
                <m:rPr>
                  <m:sty m:val="p"/>
                </m:rPr>
                <w:rPr>
                  <w:rFonts w:ascii="Cambria Math" w:eastAsia="Cambria Math" w:hAnsi="Cambria Math" w:cs="Arial"/>
                  <w:sz w:val="24"/>
                </w:rPr>
                <m:t>× </m:t>
              </m:r>
              <m:d>
                <m:dPr>
                  <m:begChr m:val="（"/>
                  <m:endChr m:val="）"/>
                  <m:ctrlPr>
                    <w:rPr>
                      <w:rFonts w:ascii="Cambria Math" w:eastAsia="Cambria Math" w:hAnsi="Cambria Math" w:cs="Arial"/>
                      <w:sz w:val="24"/>
                    </w:rPr>
                  </m:ctrlPr>
                </m:dPr>
                <m:e>
                  <m:r>
                    <m:rPr>
                      <m:sty m:val="p"/>
                    </m:rPr>
                    <w:rPr>
                      <w:rFonts w:ascii="Cambria Math" w:eastAsia="Cambria Math" w:hAnsi="Cambria Math" w:cs="Arial"/>
                      <w:sz w:val="24"/>
                    </w:rPr>
                    <m:t>R-8%</m:t>
                  </m:r>
                </m:e>
              </m:d>
              <m:r>
                <m:rPr>
                  <m:sty m:val="p"/>
                </m:rPr>
                <w:rPr>
                  <w:rFonts w:ascii="Cambria Math" w:eastAsia="Cambria Math" w:hAnsi="Cambria Math" w:cs="Arial"/>
                  <w:sz w:val="24"/>
                </w:rPr>
                <m:t>×5% ×T ÷365</m:t>
              </m:r>
            </m:oMath>
            <w:r>
              <w:rPr>
                <w:rFonts w:ascii="仿宋" w:eastAsia="仿宋" w:hAnsi="仿宋" w:cs="仿宋" w:hint="eastAsia"/>
                <w:sz w:val="24"/>
              </w:rPr>
              <w:instrText xml:space="preserve"> </w:instrText>
            </w:r>
            <w:r>
              <w:rPr>
                <w:rFonts w:ascii="仿宋" w:eastAsia="仿宋" w:hAnsi="仿宋" w:cs="仿宋" w:hint="eastAsia"/>
                <w:sz w:val="24"/>
              </w:rPr>
              <w:fldChar w:fldCharType="end"/>
            </w:r>
          </w:p>
        </w:tc>
      </w:tr>
    </w:tbl>
    <w:p w14:paraId="16C5E9D0" w14:textId="77777777" w:rsidR="002E5B15" w:rsidRDefault="009C5419">
      <w:pPr>
        <w:spacing w:line="360" w:lineRule="auto"/>
        <w:ind w:firstLineChars="200" w:firstLine="480"/>
        <w:rPr>
          <w:rFonts w:ascii="仿宋" w:eastAsia="仿宋" w:hAnsi="仿宋" w:cs="仿宋"/>
          <w:sz w:val="24"/>
        </w:rPr>
      </w:pPr>
      <w:r>
        <w:rPr>
          <w:rFonts w:ascii="仿宋" w:eastAsia="仿宋" w:hAnsi="仿宋" w:cs="仿宋" w:hint="eastAsia"/>
          <w:sz w:val="24"/>
        </w:rPr>
        <w:t>F为该笔基金份额的基金份额持有量。</w:t>
      </w:r>
    </w:p>
    <w:p w14:paraId="41A782B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Y为每笔基金份额应计提的业绩报酬。</w:t>
      </w:r>
    </w:p>
    <w:p w14:paraId="524D87A2" w14:textId="77777777" w:rsidR="002E5B15" w:rsidRDefault="009C5419">
      <w:pPr>
        <w:adjustRightInd w:val="0"/>
        <w:snapToGrid w:val="0"/>
        <w:ind w:firstLine="420"/>
        <w:rPr>
          <w:rFonts w:ascii="仿宋" w:eastAsia="仿宋" w:hAnsi="仿宋" w:cs="仿宋"/>
          <w:sz w:val="24"/>
        </w:rPr>
      </w:pPr>
      <w:r>
        <w:rPr>
          <w:rFonts w:ascii="仿宋" w:eastAsia="仿宋" w:hAnsi="仿宋" w:cs="仿宋" w:hint="eastAsia"/>
          <w:sz w:val="24"/>
        </w:rPr>
        <w:t xml:space="preserve">  （二）基金托管费的计提比例和计提方法</w:t>
      </w:r>
    </w:p>
    <w:p w14:paraId="035928B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本基金的托管费按前一日基金资产净值的0.25%年费率计提。托管费的计算方法如下：</w:t>
      </w:r>
    </w:p>
    <w:p w14:paraId="0E7AFC2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H＝E×0.25%÷当年天数</w:t>
      </w:r>
    </w:p>
    <w:p w14:paraId="1F27FC3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H为每日应计提的基金托管费</w:t>
      </w:r>
    </w:p>
    <w:p w14:paraId="5C03D5F2"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E为前一日的基金资产净值</w:t>
      </w:r>
    </w:p>
    <w:p w14:paraId="1A338A72"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（三）证券、期货账户开户费用、</w:t>
      </w:r>
      <w:r>
        <w:rPr>
          <w:rFonts w:ascii="仿宋" w:eastAsia="仿宋" w:hAnsi="仿宋" w:cs="仿宋" w:hint="eastAsia"/>
          <w:bCs/>
          <w:sz w:val="24"/>
        </w:rPr>
        <w:t>账户维护费用、</w:t>
      </w:r>
      <w:r>
        <w:rPr>
          <w:rFonts w:ascii="仿宋" w:eastAsia="仿宋" w:hAnsi="仿宋" w:cs="仿宋" w:hint="eastAsia"/>
          <w:sz w:val="24"/>
        </w:rPr>
        <w:t>证券、期货交易费用、因投资港股通标的股票而产生的各项合理费用、基金财产的银行汇划费用、账户维护费、《基金合同》生效后与基金相关的信息披露费用（但法律法规或中国证监会另有规定除外）、基金份额持有人大会费用、《基金合同》生效后与基金相关的会计师费、律师费、诉讼费和仲裁费等根据有关法律法规、《基金合同》及相应协议的规定，列入当期基金费用。</w:t>
      </w:r>
    </w:p>
    <w:p w14:paraId="4652EF9C"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（四）不列入基金费用的项目</w:t>
      </w:r>
    </w:p>
    <w:p w14:paraId="76BF165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1BC95D01"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（五）基金管理费和基金托管费的复核程序、支付方式和时间</w:t>
      </w:r>
    </w:p>
    <w:p w14:paraId="1701AED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1.复核程序</w:t>
      </w:r>
    </w:p>
    <w:p w14:paraId="369CCF1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基金托管人对基金管理人计提的基金固定管理费和基金托管费等，根据本托管协议和《基金合同》的有关规定进行复核。</w:t>
      </w:r>
    </w:p>
    <w:p w14:paraId="38C1513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2.支付方式和时间</w:t>
      </w:r>
    </w:p>
    <w:p w14:paraId="6B54823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基金固定管理费、基金托管费每日计提，按月支付。由基金托管人根据与基金管理人核对一致的财务数据，自动在月初5</w:t>
      </w:r>
      <w:proofErr w:type="gramStart"/>
      <w:r>
        <w:rPr>
          <w:rFonts w:ascii="仿宋" w:eastAsia="仿宋" w:hAnsi="仿宋" w:cs="仿宋" w:hint="eastAsia"/>
          <w:sz w:val="24"/>
        </w:rPr>
        <w:t>个</w:t>
      </w:r>
      <w:proofErr w:type="gramEnd"/>
      <w:r>
        <w:rPr>
          <w:rFonts w:ascii="仿宋" w:eastAsia="仿宋" w:hAnsi="仿宋" w:cs="仿宋" w:hint="eastAsia"/>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4155C4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业绩报酬涉及的间隔天数计算基金管理人以申请日计算。业绩报酬由基金管理人在计提日计算并复核，计算结果按照四舍五入的方式，保留至小数点后两位，由此产生的收益或损失由基金财产承担，因取值精度原因，实际业绩报酬计提结果以注册登记机构计提结果为准。因涉及相关数据，基金管理人在基金份额赎回日和基金终止时的业绩报酬计算和复核工作均由基金管理人完成，相关信息以注册登记机构计算结果为准。基金托管人不承担复核责任。业绩报酬由基金管理人依据上述公式计算，在业绩报酬计提日从基金赎回资金或清算资金中计提，由基金赎回资金或清算资金承担。基金管理人在计提当日向托管人发送业绩报酬计提金额，基金托管人</w:t>
      </w:r>
      <w:proofErr w:type="gramStart"/>
      <w:r>
        <w:rPr>
          <w:rFonts w:ascii="仿宋" w:eastAsia="仿宋" w:hAnsi="仿宋" w:cs="仿宋" w:hint="eastAsia"/>
          <w:sz w:val="24"/>
        </w:rPr>
        <w:t>据此从</w:t>
      </w:r>
      <w:proofErr w:type="gramEnd"/>
      <w:r>
        <w:rPr>
          <w:rFonts w:ascii="仿宋" w:eastAsia="仿宋" w:hAnsi="仿宋" w:cs="仿宋" w:hint="eastAsia"/>
          <w:sz w:val="24"/>
        </w:rPr>
        <w:t>当日应付基金赎回资金中计提应付基金管理人业绩报酬。业绩报酬以基金管理人提供的数据为准。业绩报酬由基金托管人根据基金管理人指令支付给基金管理人。若遇法定节假日、休息日，支付日期顺延。</w:t>
      </w:r>
    </w:p>
    <w:p w14:paraId="62816B2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在首期支付基金固定管理费前，基金管理人应向基金托管人出具正式函件指定基金管理费的收款账户。基金管理人如需要</w:t>
      </w:r>
      <w:proofErr w:type="gramStart"/>
      <w:r>
        <w:rPr>
          <w:rFonts w:ascii="仿宋" w:eastAsia="仿宋" w:hAnsi="仿宋" w:cs="仿宋" w:hint="eastAsia"/>
          <w:sz w:val="24"/>
        </w:rPr>
        <w:t>变更此</w:t>
      </w:r>
      <w:proofErr w:type="gramEnd"/>
      <w:r>
        <w:rPr>
          <w:rFonts w:ascii="仿宋" w:eastAsia="仿宋" w:hAnsi="仿宋" w:cs="仿宋" w:hint="eastAsia"/>
          <w:sz w:val="24"/>
        </w:rPr>
        <w:t>账户，应提前5个工作日向基金托管人出具书面的收款账户变更通知。</w:t>
      </w:r>
    </w:p>
    <w:p w14:paraId="19F897D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（六）违规处理方式</w:t>
      </w:r>
    </w:p>
    <w:p w14:paraId="70E55FA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A92857F" w14:textId="77777777" w:rsidR="002E5B15" w:rsidRDefault="002E5B15">
      <w:pPr>
        <w:adjustRightInd w:val="0"/>
        <w:snapToGrid w:val="0"/>
        <w:rPr>
          <w:rFonts w:ascii="仿宋" w:eastAsia="仿宋" w:hAnsi="仿宋" w:cs="仿宋"/>
          <w:sz w:val="24"/>
        </w:rPr>
      </w:pPr>
    </w:p>
    <w:p w14:paraId="52182317" w14:textId="77777777" w:rsidR="002E5B15" w:rsidRDefault="009C5419">
      <w:pPr>
        <w:pStyle w:val="2"/>
        <w:jc w:val="center"/>
        <w:rPr>
          <w:rFonts w:ascii="仿宋" w:eastAsia="仿宋" w:hAnsi="仿宋" w:cs="仿宋"/>
          <w:sz w:val="30"/>
        </w:rPr>
      </w:pPr>
      <w:bookmarkStart w:id="90" w:name="_Toc124325896"/>
      <w:r>
        <w:rPr>
          <w:rFonts w:ascii="仿宋" w:eastAsia="仿宋" w:hAnsi="仿宋" w:cs="仿宋" w:hint="eastAsia"/>
          <w:sz w:val="30"/>
        </w:rPr>
        <w:t>十二、基金份额持有人名册的保管</w:t>
      </w:r>
      <w:bookmarkEnd w:id="90"/>
    </w:p>
    <w:p w14:paraId="03070DE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基金份额持有人名册至少应包括基金份额持有人的名称和持有的基金份额。基金份额持有人名册由基金登记机构根据基金管理人的指令编制和保管，基金管</w:t>
      </w:r>
      <w:r>
        <w:rPr>
          <w:rFonts w:ascii="仿宋" w:eastAsia="仿宋" w:hAnsi="仿宋" w:cs="仿宋" w:hint="eastAsia"/>
          <w:sz w:val="24"/>
        </w:rPr>
        <w:lastRenderedPageBreak/>
        <w:t>理人和基金托管人应分别保管基金份额持有人名册，保存期不少于15年。如不能妥善保管，则按相关法规承担责任。</w:t>
      </w:r>
    </w:p>
    <w:p w14:paraId="40AD745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在基金托管人要求或编制中期报告和年报前，基金管理人应将有关资料送交基金托管人，不得无故拒绝或延误提供，并保证其真实性、准确性和完整性。</w:t>
      </w:r>
      <w:r>
        <w:rPr>
          <w:rFonts w:ascii="仿宋" w:eastAsia="仿宋" w:hAnsi="仿宋" w:cs="仿宋" w:hint="eastAsia"/>
          <w:kern w:val="0"/>
          <w:sz w:val="24"/>
        </w:rPr>
        <w:t>基金托管人不得将所保管的基金份额持有人名册用于基金托管业务以外的其他用途，并应遵守保密义务。</w:t>
      </w:r>
    </w:p>
    <w:p w14:paraId="59551F7F" w14:textId="77777777" w:rsidR="002E5B15" w:rsidRDefault="002E5B15">
      <w:pPr>
        <w:adjustRightInd w:val="0"/>
        <w:snapToGrid w:val="0"/>
        <w:rPr>
          <w:rFonts w:ascii="仿宋" w:eastAsia="仿宋" w:hAnsi="仿宋" w:cs="仿宋"/>
          <w:sz w:val="24"/>
        </w:rPr>
      </w:pPr>
    </w:p>
    <w:p w14:paraId="31A63F94" w14:textId="77777777" w:rsidR="002E5B15" w:rsidRDefault="009C5419">
      <w:pPr>
        <w:pStyle w:val="2"/>
        <w:jc w:val="center"/>
        <w:rPr>
          <w:rFonts w:ascii="仿宋" w:eastAsia="仿宋" w:hAnsi="仿宋" w:cs="仿宋"/>
          <w:sz w:val="30"/>
        </w:rPr>
      </w:pPr>
      <w:bookmarkStart w:id="91" w:name="_Toc124325897"/>
      <w:r>
        <w:rPr>
          <w:rFonts w:ascii="仿宋" w:eastAsia="仿宋" w:hAnsi="仿宋" w:cs="仿宋" w:hint="eastAsia"/>
          <w:sz w:val="30"/>
        </w:rPr>
        <w:t>十三、基金有关文件档案的保存</w:t>
      </w:r>
      <w:bookmarkEnd w:id="91"/>
    </w:p>
    <w:p w14:paraId="51E1CE95"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（一）档案保存</w:t>
      </w:r>
    </w:p>
    <w:p w14:paraId="5EBEFE5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0307C77"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（二）合同档案的建立</w:t>
      </w:r>
    </w:p>
    <w:p w14:paraId="3F23BCC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1.基金管理人签署重大合同文本后，应及时将合同文本正本送达基金托管人处。</w:t>
      </w:r>
    </w:p>
    <w:p w14:paraId="590E903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2.基金管理人应及时将与本基金账务处理、资金划拨等有关的合同、协议传真基金托管人。</w:t>
      </w:r>
    </w:p>
    <w:p w14:paraId="1EC03B7F"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（三）变更与协助</w:t>
      </w:r>
    </w:p>
    <w:p w14:paraId="4FB7279D" w14:textId="77777777" w:rsidR="002E5B15" w:rsidRDefault="009C5419">
      <w:pPr>
        <w:adjustRightInd w:val="0"/>
        <w:snapToGrid w:val="0"/>
        <w:ind w:firstLineChars="200" w:firstLine="480"/>
        <w:rPr>
          <w:rFonts w:ascii="仿宋" w:eastAsia="仿宋" w:hAnsi="仿宋" w:cs="仿宋"/>
          <w:b/>
          <w:bCs/>
          <w:sz w:val="30"/>
          <w:szCs w:val="30"/>
        </w:rPr>
      </w:pPr>
      <w:proofErr w:type="gramStart"/>
      <w:r>
        <w:rPr>
          <w:rFonts w:ascii="仿宋" w:eastAsia="仿宋" w:hAnsi="仿宋" w:cs="仿宋" w:hint="eastAsia"/>
          <w:sz w:val="24"/>
        </w:rPr>
        <w:t>若基金</w:t>
      </w:r>
      <w:proofErr w:type="gramEnd"/>
      <w:r>
        <w:rPr>
          <w:rFonts w:ascii="仿宋" w:eastAsia="仿宋" w:hAnsi="仿宋" w:cs="仿宋" w:hint="eastAsia"/>
          <w:sz w:val="24"/>
        </w:rPr>
        <w:t>管理人/基金托管人发生变更，未变更的一方有义务协助变更后的接任人接收相应文件。</w:t>
      </w:r>
    </w:p>
    <w:p w14:paraId="40779FE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（四）基金管理人和基金托管人应按各自职责完整保存原始凭证、记账凭证、基金账册、交易记录和重要合同等，承担保密义务并保存至少15年。</w:t>
      </w:r>
    </w:p>
    <w:p w14:paraId="483D5F84" w14:textId="77777777" w:rsidR="002E5B15" w:rsidRDefault="002E5B15">
      <w:pPr>
        <w:adjustRightInd w:val="0"/>
        <w:snapToGrid w:val="0"/>
        <w:rPr>
          <w:rFonts w:ascii="仿宋" w:eastAsia="仿宋" w:hAnsi="仿宋" w:cs="仿宋"/>
          <w:sz w:val="30"/>
          <w:szCs w:val="30"/>
        </w:rPr>
      </w:pPr>
    </w:p>
    <w:p w14:paraId="7586308E" w14:textId="77777777" w:rsidR="002E5B15" w:rsidRDefault="009C5419">
      <w:pPr>
        <w:pStyle w:val="2"/>
        <w:jc w:val="center"/>
        <w:rPr>
          <w:rFonts w:ascii="仿宋" w:eastAsia="仿宋" w:hAnsi="仿宋" w:cs="仿宋"/>
          <w:sz w:val="30"/>
        </w:rPr>
      </w:pPr>
      <w:bookmarkStart w:id="92" w:name="_Toc124325898"/>
      <w:r>
        <w:rPr>
          <w:rFonts w:ascii="仿宋" w:eastAsia="仿宋" w:hAnsi="仿宋" w:cs="仿宋" w:hint="eastAsia"/>
          <w:sz w:val="30"/>
        </w:rPr>
        <w:t>十四、基金管理人和基金托管人的更换</w:t>
      </w:r>
      <w:bookmarkEnd w:id="92"/>
    </w:p>
    <w:p w14:paraId="38019D1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（一）基金管理人职责终止的情形</w:t>
      </w:r>
    </w:p>
    <w:p w14:paraId="30F5402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1.基金管理人职责终止的情形</w:t>
      </w:r>
    </w:p>
    <w:p w14:paraId="4BAB9B4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有下列情形之一的，基金管理人职责终止：</w:t>
      </w:r>
    </w:p>
    <w:p w14:paraId="1170844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(1)被依法取消基金管理资格；</w:t>
      </w:r>
    </w:p>
    <w:p w14:paraId="248E717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(2)依法解散、被依法撤销或被依法宣告破产；</w:t>
      </w:r>
    </w:p>
    <w:p w14:paraId="07A33FB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(3)被基金份额持有人大会解任；</w:t>
      </w:r>
    </w:p>
    <w:p w14:paraId="1CCF26E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(4)法律法规及中国证监会规定的和《基金合同》约定的其他情形。</w:t>
      </w:r>
    </w:p>
    <w:p w14:paraId="5213DE8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2.基金管理人的更换程序</w:t>
      </w:r>
    </w:p>
    <w:p w14:paraId="5F4BE75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更换基金管理人必须依照如下程序进行：</w:t>
      </w:r>
    </w:p>
    <w:p w14:paraId="7DF78ED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(1)提名：</w:t>
      </w:r>
      <w:proofErr w:type="gramStart"/>
      <w:r>
        <w:rPr>
          <w:rFonts w:ascii="仿宋" w:eastAsia="仿宋" w:hAnsi="仿宋" w:cs="仿宋" w:hint="eastAsia"/>
          <w:sz w:val="24"/>
        </w:rPr>
        <w:t>新任基金</w:t>
      </w:r>
      <w:proofErr w:type="gramEnd"/>
      <w:r>
        <w:rPr>
          <w:rFonts w:ascii="仿宋" w:eastAsia="仿宋" w:hAnsi="仿宋" w:cs="仿宋" w:hint="eastAsia"/>
          <w:sz w:val="24"/>
        </w:rPr>
        <w:t>管理人由基金托管人或由单独或合计持有10%以上(含10%)基金份额的基金份额持有人提名；</w:t>
      </w:r>
    </w:p>
    <w:p w14:paraId="1D3070F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666B05C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(3)临时基金管理人：</w:t>
      </w:r>
      <w:proofErr w:type="gramStart"/>
      <w:r>
        <w:rPr>
          <w:rFonts w:ascii="仿宋" w:eastAsia="仿宋" w:hAnsi="仿宋" w:cs="仿宋" w:hint="eastAsia"/>
          <w:sz w:val="24"/>
        </w:rPr>
        <w:t>新任基金</w:t>
      </w:r>
      <w:proofErr w:type="gramEnd"/>
      <w:r>
        <w:rPr>
          <w:rFonts w:ascii="仿宋" w:eastAsia="仿宋" w:hAnsi="仿宋" w:cs="仿宋" w:hint="eastAsia"/>
          <w:sz w:val="24"/>
        </w:rPr>
        <w:t>管理人产生之前，由中国证监会指定临时基金管理人；</w:t>
      </w:r>
    </w:p>
    <w:p w14:paraId="32C89C4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(4)备案：基金份额持有人大会选任基金管理人的决议须报中国证监会备案；</w:t>
      </w:r>
    </w:p>
    <w:p w14:paraId="551FF72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(5)公告：基金管理人更换后，由基金托管人在更换基金管理人的基金份额持有人大会决议生效后2日内在指定媒介公告；</w:t>
      </w:r>
    </w:p>
    <w:p w14:paraId="465894B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(6)交接：基金管理人职责终止的，基金管理人应妥善保管基金管理业务资料，及时向临时基金管理人或</w:t>
      </w:r>
      <w:proofErr w:type="gramStart"/>
      <w:r>
        <w:rPr>
          <w:rFonts w:ascii="仿宋" w:eastAsia="仿宋" w:hAnsi="仿宋" w:cs="仿宋" w:hint="eastAsia"/>
          <w:sz w:val="24"/>
        </w:rPr>
        <w:t>新任基金</w:t>
      </w:r>
      <w:proofErr w:type="gramEnd"/>
      <w:r>
        <w:rPr>
          <w:rFonts w:ascii="仿宋" w:eastAsia="仿宋" w:hAnsi="仿宋" w:cs="仿宋" w:hint="eastAsia"/>
          <w:sz w:val="24"/>
        </w:rPr>
        <w:t>管理人办理基金管理业务的移交手续，临时基金管理人或</w:t>
      </w:r>
      <w:proofErr w:type="gramStart"/>
      <w:r>
        <w:rPr>
          <w:rFonts w:ascii="仿宋" w:eastAsia="仿宋" w:hAnsi="仿宋" w:cs="仿宋" w:hint="eastAsia"/>
          <w:sz w:val="24"/>
        </w:rPr>
        <w:t>新任基金</w:t>
      </w:r>
      <w:proofErr w:type="gramEnd"/>
      <w:r>
        <w:rPr>
          <w:rFonts w:ascii="仿宋" w:eastAsia="仿宋" w:hAnsi="仿宋" w:cs="仿宋" w:hint="eastAsia"/>
          <w:sz w:val="24"/>
        </w:rPr>
        <w:t>管理人应及时接收。</w:t>
      </w:r>
      <w:proofErr w:type="gramStart"/>
      <w:r>
        <w:rPr>
          <w:rFonts w:ascii="仿宋" w:eastAsia="仿宋" w:hAnsi="仿宋" w:cs="仿宋" w:hint="eastAsia"/>
          <w:sz w:val="24"/>
        </w:rPr>
        <w:t>新任基金</w:t>
      </w:r>
      <w:proofErr w:type="gramEnd"/>
      <w:r>
        <w:rPr>
          <w:rFonts w:ascii="仿宋" w:eastAsia="仿宋" w:hAnsi="仿宋" w:cs="仿宋" w:hint="eastAsia"/>
          <w:sz w:val="24"/>
        </w:rPr>
        <w:t>管理人或临时基金管理人应与基金托管人核对基金资产总值；</w:t>
      </w:r>
    </w:p>
    <w:p w14:paraId="4F4D0CC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(7)审计：基金管理人职责终止的，应当按照法律法规规定聘请会计师事务所对基金财产进行审计，并将审计结果予以公告，同时报中国证监会备案；审计费用在基金财产中列支；</w:t>
      </w:r>
    </w:p>
    <w:p w14:paraId="59EF731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(8)基金名称变更：基金管理人更换后，如果原任或</w:t>
      </w:r>
      <w:proofErr w:type="gramStart"/>
      <w:r>
        <w:rPr>
          <w:rFonts w:ascii="仿宋" w:eastAsia="仿宋" w:hAnsi="仿宋" w:cs="仿宋" w:hint="eastAsia"/>
          <w:sz w:val="24"/>
        </w:rPr>
        <w:t>新任基金</w:t>
      </w:r>
      <w:proofErr w:type="gramEnd"/>
      <w:r>
        <w:rPr>
          <w:rFonts w:ascii="仿宋" w:eastAsia="仿宋" w:hAnsi="仿宋" w:cs="仿宋" w:hint="eastAsia"/>
          <w:sz w:val="24"/>
        </w:rPr>
        <w:t>管理人要求，应按其要求替换或删除基金名称中与</w:t>
      </w:r>
      <w:proofErr w:type="gramStart"/>
      <w:r>
        <w:rPr>
          <w:rFonts w:ascii="仿宋" w:eastAsia="仿宋" w:hAnsi="仿宋" w:cs="仿宋" w:hint="eastAsia"/>
          <w:sz w:val="24"/>
        </w:rPr>
        <w:t>原基金</w:t>
      </w:r>
      <w:proofErr w:type="gramEnd"/>
      <w:r>
        <w:rPr>
          <w:rFonts w:ascii="仿宋" w:eastAsia="仿宋" w:hAnsi="仿宋" w:cs="仿宋" w:hint="eastAsia"/>
          <w:sz w:val="24"/>
        </w:rPr>
        <w:t>管理人有关的名称字样。</w:t>
      </w:r>
    </w:p>
    <w:p w14:paraId="521F734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（二）基金托管人职责终止的情形</w:t>
      </w:r>
    </w:p>
    <w:p w14:paraId="1B95510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1.基金托管人职责终止的情形</w:t>
      </w:r>
    </w:p>
    <w:p w14:paraId="4A52D0F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有下列情形之一的，基金托管人职责终止：</w:t>
      </w:r>
    </w:p>
    <w:p w14:paraId="66274F8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(1)被依法取消基金托管资格；</w:t>
      </w:r>
    </w:p>
    <w:p w14:paraId="0D229F9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(2)依法解散、被依法撤销或被依法宣告破产；</w:t>
      </w:r>
    </w:p>
    <w:p w14:paraId="0450805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(3)被基金份额持有人大会解任；</w:t>
      </w:r>
    </w:p>
    <w:p w14:paraId="1F58CE2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(4)法律法规及中国证监会规定的和《基金合同》约定的其他情形。</w:t>
      </w:r>
    </w:p>
    <w:p w14:paraId="2CE925E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2.基金托管人的更换程序</w:t>
      </w:r>
    </w:p>
    <w:p w14:paraId="0760CFB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(1)提名：</w:t>
      </w:r>
      <w:proofErr w:type="gramStart"/>
      <w:r>
        <w:rPr>
          <w:rFonts w:ascii="仿宋" w:eastAsia="仿宋" w:hAnsi="仿宋" w:cs="仿宋" w:hint="eastAsia"/>
          <w:sz w:val="24"/>
        </w:rPr>
        <w:t>新任基金</w:t>
      </w:r>
      <w:proofErr w:type="gramEnd"/>
      <w:r>
        <w:rPr>
          <w:rFonts w:ascii="仿宋" w:eastAsia="仿宋" w:hAnsi="仿宋" w:cs="仿宋" w:hint="eastAsia"/>
          <w:sz w:val="24"/>
        </w:rPr>
        <w:t>托管人由基金管理人或由单独或合计持有10%以上(含10%)基金份额的基金份额持有人提名；</w:t>
      </w:r>
    </w:p>
    <w:p w14:paraId="280C5D9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(2)决议：基金份额持有人大会在基金托管人职责终止后6个月内对被提名的</w:t>
      </w:r>
      <w:r>
        <w:rPr>
          <w:rFonts w:ascii="仿宋" w:eastAsia="仿宋" w:hAnsi="仿宋" w:cs="仿宋" w:hint="eastAsia"/>
          <w:sz w:val="24"/>
        </w:rPr>
        <w:lastRenderedPageBreak/>
        <w:t>基金托管人形成决议，该决议需经参加大会的基金份额持有人所持表决权的三分之二以上(含三分之二)表决通过，决议自表决通过之日起生效；</w:t>
      </w:r>
    </w:p>
    <w:p w14:paraId="7D6E5A3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(3)临时基金托管人：</w:t>
      </w:r>
      <w:proofErr w:type="gramStart"/>
      <w:r>
        <w:rPr>
          <w:rFonts w:ascii="仿宋" w:eastAsia="仿宋" w:hAnsi="仿宋" w:cs="仿宋" w:hint="eastAsia"/>
          <w:sz w:val="24"/>
        </w:rPr>
        <w:t>新任基金</w:t>
      </w:r>
      <w:proofErr w:type="gramEnd"/>
      <w:r>
        <w:rPr>
          <w:rFonts w:ascii="仿宋" w:eastAsia="仿宋" w:hAnsi="仿宋" w:cs="仿宋" w:hint="eastAsia"/>
          <w:sz w:val="24"/>
        </w:rPr>
        <w:t>托管人产生之前，由中国证监会指定临时基金托管人；</w:t>
      </w:r>
    </w:p>
    <w:p w14:paraId="0D87E852"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(4)备案：基金份额持有人大会更换基金托管人的决议须报中国证监会备案；</w:t>
      </w:r>
    </w:p>
    <w:p w14:paraId="31E83A7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(5)公告：基金托管人更换后，由基金管理人在更换基金托管人的基金份额持有人大会决议生效后 2日内在指定媒介公告；</w:t>
      </w:r>
    </w:p>
    <w:p w14:paraId="3518260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(6)交接：基金托管人职责终止的，应当妥善保管基金财产和基金托管业务资料，及时办理基金财产和基金托管业务的移交手续，</w:t>
      </w:r>
      <w:proofErr w:type="gramStart"/>
      <w:r>
        <w:rPr>
          <w:rFonts w:ascii="仿宋" w:eastAsia="仿宋" w:hAnsi="仿宋" w:cs="仿宋" w:hint="eastAsia"/>
          <w:sz w:val="24"/>
        </w:rPr>
        <w:t>新任基金</w:t>
      </w:r>
      <w:proofErr w:type="gramEnd"/>
      <w:r>
        <w:rPr>
          <w:rFonts w:ascii="仿宋" w:eastAsia="仿宋" w:hAnsi="仿宋" w:cs="仿宋" w:hint="eastAsia"/>
          <w:sz w:val="24"/>
        </w:rPr>
        <w:t>托管人或者临时基金托管人应当及时接收。</w:t>
      </w:r>
      <w:proofErr w:type="gramStart"/>
      <w:r>
        <w:rPr>
          <w:rFonts w:ascii="仿宋" w:eastAsia="仿宋" w:hAnsi="仿宋" w:cs="仿宋" w:hint="eastAsia"/>
          <w:sz w:val="24"/>
        </w:rPr>
        <w:t>新任基金</w:t>
      </w:r>
      <w:proofErr w:type="gramEnd"/>
      <w:r>
        <w:rPr>
          <w:rFonts w:ascii="仿宋" w:eastAsia="仿宋" w:hAnsi="仿宋" w:cs="仿宋" w:hint="eastAsia"/>
          <w:sz w:val="24"/>
        </w:rPr>
        <w:t>托管人或临时基金托管人与基金管理人核对基金资产总值；</w:t>
      </w:r>
    </w:p>
    <w:p w14:paraId="7A76930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(7)审计：基金托管人职责终止的，应当按照法律法规规定聘请会计师事务所对基金财产进行审计，并将审计结果予以公告，同时报中国证监会备案，审计费用在基金财产中列支。</w:t>
      </w:r>
    </w:p>
    <w:p w14:paraId="31F298B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（三）基金管理人与基金托管人同时更换的条件和程序</w:t>
      </w:r>
    </w:p>
    <w:p w14:paraId="42DA121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1.提名：如果基金管理人和基金托管人同时更换，由单独或合计持有基金总份额10%以上(含10%)的基金份额持有人提名新的基金管理人和基金托管人；</w:t>
      </w:r>
    </w:p>
    <w:p w14:paraId="42F4626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2.基金管理人和基金托管人的更换分别按上述程序进行；</w:t>
      </w:r>
    </w:p>
    <w:p w14:paraId="3470F5A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3.公告：</w:t>
      </w:r>
      <w:proofErr w:type="gramStart"/>
      <w:r>
        <w:rPr>
          <w:rFonts w:ascii="仿宋" w:eastAsia="仿宋" w:hAnsi="仿宋" w:cs="仿宋" w:hint="eastAsia"/>
          <w:sz w:val="24"/>
        </w:rPr>
        <w:t>新任基金</w:t>
      </w:r>
      <w:proofErr w:type="gramEnd"/>
      <w:r>
        <w:rPr>
          <w:rFonts w:ascii="仿宋" w:eastAsia="仿宋" w:hAnsi="仿宋" w:cs="仿宋" w:hint="eastAsia"/>
          <w:sz w:val="24"/>
        </w:rPr>
        <w:t>管理人和</w:t>
      </w:r>
      <w:proofErr w:type="gramStart"/>
      <w:r>
        <w:rPr>
          <w:rFonts w:ascii="仿宋" w:eastAsia="仿宋" w:hAnsi="仿宋" w:cs="仿宋" w:hint="eastAsia"/>
          <w:sz w:val="24"/>
        </w:rPr>
        <w:t>新任基金</w:t>
      </w:r>
      <w:proofErr w:type="gramEnd"/>
      <w:r>
        <w:rPr>
          <w:rFonts w:ascii="仿宋" w:eastAsia="仿宋" w:hAnsi="仿宋" w:cs="仿宋" w:hint="eastAsia"/>
          <w:sz w:val="24"/>
        </w:rPr>
        <w:t>托管人应在更换基金管理人和基金托管人的基金份额持有人大会决议生效后2日内在指定媒介上联合公告。</w:t>
      </w:r>
    </w:p>
    <w:p w14:paraId="6C8C930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（四）新任或临时基金管理人接收基金管理业务或新任或临时基金托管人接收基金财产和基金托管业务前，</w:t>
      </w:r>
      <w:proofErr w:type="gramStart"/>
      <w:r>
        <w:rPr>
          <w:rFonts w:ascii="仿宋" w:eastAsia="仿宋" w:hAnsi="仿宋" w:cs="仿宋" w:hint="eastAsia"/>
          <w:sz w:val="24"/>
        </w:rPr>
        <w:t>原基金</w:t>
      </w:r>
      <w:proofErr w:type="gramEnd"/>
      <w:r>
        <w:rPr>
          <w:rFonts w:ascii="仿宋" w:eastAsia="仿宋" w:hAnsi="仿宋" w:cs="仿宋" w:hint="eastAsia"/>
          <w:sz w:val="24"/>
        </w:rPr>
        <w:t>管理人或</w:t>
      </w:r>
      <w:proofErr w:type="gramStart"/>
      <w:r>
        <w:rPr>
          <w:rFonts w:ascii="仿宋" w:eastAsia="仿宋" w:hAnsi="仿宋" w:cs="仿宋" w:hint="eastAsia"/>
          <w:sz w:val="24"/>
        </w:rPr>
        <w:t>原基金</w:t>
      </w:r>
      <w:proofErr w:type="gramEnd"/>
      <w:r>
        <w:rPr>
          <w:rFonts w:ascii="仿宋" w:eastAsia="仿宋" w:hAnsi="仿宋" w:cs="仿宋" w:hint="eastAsia"/>
          <w:sz w:val="24"/>
        </w:rPr>
        <w:t>托管人应继续履行相关职责，并保证不做出对基金份额持有人的利益造成损害的行为。</w:t>
      </w:r>
    </w:p>
    <w:p w14:paraId="67F2714D" w14:textId="77777777" w:rsidR="002E5B15" w:rsidRDefault="002E5B15">
      <w:pPr>
        <w:adjustRightInd w:val="0"/>
        <w:snapToGrid w:val="0"/>
        <w:rPr>
          <w:rFonts w:ascii="仿宋" w:eastAsia="仿宋" w:hAnsi="仿宋" w:cs="仿宋"/>
          <w:sz w:val="24"/>
        </w:rPr>
      </w:pPr>
    </w:p>
    <w:p w14:paraId="5AF1827E" w14:textId="77777777" w:rsidR="002E5B15" w:rsidRDefault="009C5419">
      <w:pPr>
        <w:pStyle w:val="2"/>
        <w:jc w:val="center"/>
        <w:rPr>
          <w:rFonts w:ascii="仿宋" w:eastAsia="仿宋" w:hAnsi="仿宋" w:cs="仿宋"/>
          <w:sz w:val="30"/>
        </w:rPr>
      </w:pPr>
      <w:bookmarkStart w:id="93" w:name="_Toc124325899"/>
      <w:r>
        <w:rPr>
          <w:rFonts w:ascii="仿宋" w:eastAsia="仿宋" w:hAnsi="仿宋" w:cs="仿宋" w:hint="eastAsia"/>
          <w:sz w:val="30"/>
        </w:rPr>
        <w:t>十五、禁止行为</w:t>
      </w:r>
      <w:bookmarkEnd w:id="93"/>
    </w:p>
    <w:p w14:paraId="7E280EB6"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本协议当事人禁止从事的行为，包括但不限于：</w:t>
      </w:r>
    </w:p>
    <w:p w14:paraId="61C94E62"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（一）基金管理人、基金托管人将其固有财产或者他人财产混同于基金财产从事证券投资。</w:t>
      </w:r>
    </w:p>
    <w:p w14:paraId="02D0DF98" w14:textId="77777777" w:rsidR="002E5B15" w:rsidRDefault="009C5419">
      <w:pPr>
        <w:ind w:firstLineChars="200" w:firstLine="480"/>
        <w:rPr>
          <w:rFonts w:ascii="仿宋" w:eastAsia="仿宋" w:hAnsi="仿宋" w:cs="仿宋"/>
        </w:rPr>
      </w:pPr>
      <w:r>
        <w:rPr>
          <w:rFonts w:ascii="仿宋" w:eastAsia="仿宋" w:hAnsi="仿宋" w:cs="仿宋" w:hint="eastAsia"/>
          <w:sz w:val="24"/>
        </w:rPr>
        <w:t>（二）基金管理人不公平地对待其管理的不同基金财产，基金托管人不公平地对待其托管的不同基金财产。</w:t>
      </w:r>
    </w:p>
    <w:p w14:paraId="221E8377"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lastRenderedPageBreak/>
        <w:t>（三）基金管理人、基金托管人利用基金财产为基金份额持有人以外的第三人牟取利益。</w:t>
      </w:r>
    </w:p>
    <w:p w14:paraId="07A63D62"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（四）基金管理人、基金托管人向基金份额持有人违规承诺收益或者承担损失。</w:t>
      </w:r>
    </w:p>
    <w:p w14:paraId="0F8D9838"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（五）基金管理人、基金托管人对他人泄漏基金运作和管理过程中任何尚未按法律法规规定的方式公开披露的信息。</w:t>
      </w:r>
    </w:p>
    <w:p w14:paraId="461557FD" w14:textId="77777777" w:rsidR="002E5B15" w:rsidRDefault="009C5419">
      <w:pPr>
        <w:pStyle w:val="a7"/>
        <w:spacing w:line="240" w:lineRule="auto"/>
        <w:outlineLvl w:val="0"/>
        <w:rPr>
          <w:rFonts w:ascii="仿宋" w:eastAsia="仿宋" w:hAnsi="仿宋" w:cs="仿宋"/>
          <w:szCs w:val="24"/>
        </w:rPr>
      </w:pPr>
      <w:r>
        <w:rPr>
          <w:rFonts w:ascii="仿宋" w:eastAsia="仿宋" w:hAnsi="仿宋" w:cs="仿宋" w:hint="eastAsia"/>
          <w:szCs w:val="24"/>
        </w:rPr>
        <w:t>（六）基金管理人在没有充足资金的情况下向基金托管人发出投资指令和赎回、分红资金的划拨指令，或违规向基金托管人发出指令。</w:t>
      </w:r>
    </w:p>
    <w:p w14:paraId="3BDD4EDD"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（七）基金管理人、基金托管人在行政上、财务上不</w:t>
      </w:r>
      <w:proofErr w:type="gramStart"/>
      <w:r>
        <w:rPr>
          <w:rFonts w:ascii="仿宋" w:eastAsia="仿宋" w:hAnsi="仿宋" w:cs="仿宋" w:hint="eastAsia"/>
          <w:sz w:val="24"/>
        </w:rPr>
        <w:t>独立,</w:t>
      </w:r>
      <w:proofErr w:type="gramEnd"/>
      <w:r>
        <w:rPr>
          <w:rFonts w:ascii="仿宋" w:eastAsia="仿宋" w:hAnsi="仿宋" w:cs="仿宋" w:hint="eastAsia"/>
          <w:sz w:val="24"/>
        </w:rPr>
        <w:t xml:space="preserve"> 其高级管理人员和其他从业人员相互兼职。</w:t>
      </w:r>
    </w:p>
    <w:p w14:paraId="342758D7"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（八）基金托管人私自动用或处分基金财产，根据基金管理人的合法指令、《基金合同》或托管协议的规定进行处分的除外。</w:t>
      </w:r>
    </w:p>
    <w:p w14:paraId="648800CD" w14:textId="77777777" w:rsidR="002E5B15" w:rsidRDefault="009C5419">
      <w:pPr>
        <w:ind w:firstLineChars="200" w:firstLine="480"/>
        <w:rPr>
          <w:rFonts w:ascii="仿宋" w:eastAsia="仿宋" w:hAnsi="仿宋" w:cs="仿宋"/>
          <w:sz w:val="24"/>
        </w:rPr>
      </w:pPr>
      <w:r>
        <w:rPr>
          <w:rFonts w:ascii="仿宋" w:eastAsia="仿宋" w:hAnsi="仿宋" w:cs="仿宋" w:hint="eastAsia"/>
          <w:sz w:val="24"/>
        </w:rPr>
        <w:t>（九）基金财产用于下列投资或者活动：1.承销证券；2.违反规定向他人贷款或者提供担保；3.从事承担无限责任的投资；4.买卖其他基金份额，但是法律法规或中国证监会另有规定的除外；5.向其基金管理人、基金托管人出资；6.从事内幕交易、操纵证券交易价格及其他不正当的证券交易活动；7.法律、行政法规和中国证监会规定禁止的其他活动。法律法规或监管部门取消或调整上述限制，如适用于本基金，则本基金投资不再受相关限制或按照调整后的规定执行。</w:t>
      </w:r>
    </w:p>
    <w:p w14:paraId="5093AA5D"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（十）法律法规和《基金合同》禁止的其他行为，以及依照法律、行政法规有关规定，由中国证监会规定禁止基金管理人、基金托管人从事的其他行为。</w:t>
      </w:r>
    </w:p>
    <w:p w14:paraId="4BFB8F38" w14:textId="77777777" w:rsidR="002E5B15" w:rsidRDefault="002E5B15">
      <w:pPr>
        <w:adjustRightInd w:val="0"/>
        <w:snapToGrid w:val="0"/>
        <w:rPr>
          <w:rFonts w:ascii="仿宋" w:eastAsia="仿宋" w:hAnsi="仿宋" w:cs="仿宋"/>
          <w:sz w:val="30"/>
          <w:szCs w:val="30"/>
        </w:rPr>
      </w:pPr>
    </w:p>
    <w:p w14:paraId="0CB24498" w14:textId="77777777" w:rsidR="002E5B15" w:rsidRDefault="009C5419">
      <w:pPr>
        <w:pStyle w:val="2"/>
        <w:jc w:val="center"/>
        <w:rPr>
          <w:rFonts w:ascii="仿宋" w:eastAsia="仿宋" w:hAnsi="仿宋" w:cs="仿宋"/>
          <w:sz w:val="30"/>
        </w:rPr>
      </w:pPr>
      <w:bookmarkStart w:id="94" w:name="_Toc124325900"/>
      <w:r>
        <w:rPr>
          <w:rFonts w:ascii="仿宋" w:eastAsia="仿宋" w:hAnsi="仿宋" w:cs="仿宋" w:hint="eastAsia"/>
          <w:sz w:val="30"/>
        </w:rPr>
        <w:t>十六、托管协议的变更、终止与基金财产的清算</w:t>
      </w:r>
      <w:bookmarkEnd w:id="94"/>
    </w:p>
    <w:p w14:paraId="2DFE284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（一）托管协议的变更程序</w:t>
      </w:r>
    </w:p>
    <w:p w14:paraId="0A5AFF76" w14:textId="77777777" w:rsidR="002E5B15" w:rsidRDefault="009C5419">
      <w:pPr>
        <w:adjustRightInd w:val="0"/>
        <w:snapToGrid w:val="0"/>
        <w:ind w:firstLineChars="200" w:firstLine="480"/>
        <w:rPr>
          <w:rFonts w:ascii="仿宋" w:eastAsia="仿宋" w:hAnsi="仿宋" w:cs="仿宋"/>
          <w:sz w:val="30"/>
          <w:szCs w:val="30"/>
        </w:rPr>
      </w:pPr>
      <w:r>
        <w:rPr>
          <w:rFonts w:ascii="仿宋" w:eastAsia="仿宋" w:hAnsi="仿宋" w:cs="仿宋" w:hint="eastAsia"/>
          <w:sz w:val="24"/>
        </w:rPr>
        <w:t>本协议双方当事人经协商一致，可以对协议进行修改。修改后的新协议，其内容不得与《基金合同》的规定有任何冲突。基金托管协议的变更报中国证监会备案。</w:t>
      </w:r>
    </w:p>
    <w:p w14:paraId="60070E0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（二）托管协议终止的情形</w:t>
      </w:r>
    </w:p>
    <w:p w14:paraId="09B243A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1.《基金合同》终止；</w:t>
      </w:r>
    </w:p>
    <w:p w14:paraId="16D9B24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lastRenderedPageBreak/>
        <w:t>2.基金托管人解散、依法被撤销、破产或由其他基金托管人接管基金资产；</w:t>
      </w:r>
    </w:p>
    <w:p w14:paraId="38996DD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3.基金管理人解散、依法被撤销、破产或由其他基金管理人接管基金管理权；</w:t>
      </w:r>
    </w:p>
    <w:p w14:paraId="7117AA58"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4.发生法律法规或《基金合同》规定的终止事项。</w:t>
      </w:r>
    </w:p>
    <w:p w14:paraId="33EED89F"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（三）基金财产的清算</w:t>
      </w:r>
    </w:p>
    <w:p w14:paraId="6CF91FE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1.基金财产清算小组：自出现《基金合同》终止事由之日起30个工作日内成立基金财产清算小组，基金管理人组织基金财产清算小组并在中国证监会的监督下进行基金清算。</w:t>
      </w:r>
    </w:p>
    <w:p w14:paraId="2C49E07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2934554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3.基金财产清算小组职责：基金财产清算小组负责基金财产的保管、清理、估价、变现和分配。基金财产清算小组可以依法进行必要的民事活动。</w:t>
      </w:r>
    </w:p>
    <w:p w14:paraId="57B737F0"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4.基金财产清算程序：</w:t>
      </w:r>
    </w:p>
    <w:p w14:paraId="2AE9DB2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(1)《基金合同》终止情形出现时，由基金财产清算小组统一接管基金；</w:t>
      </w:r>
    </w:p>
    <w:p w14:paraId="6889A01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(2)对基金财产和债权债务进行清理和确认；</w:t>
      </w:r>
    </w:p>
    <w:p w14:paraId="02CF774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(3)对基金财产进行估值和变现；</w:t>
      </w:r>
    </w:p>
    <w:p w14:paraId="6C1FF8B1"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(4)制作清算报告；</w:t>
      </w:r>
    </w:p>
    <w:p w14:paraId="2194A1F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(5)聘请会计师事务所对清算报告进行外部审计，聘请律师事务所对清算报告出具法律意见书；</w:t>
      </w:r>
    </w:p>
    <w:p w14:paraId="5E15DD9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(6)将清算报告报中国证监会备案并公告；</w:t>
      </w:r>
    </w:p>
    <w:p w14:paraId="07E2BC6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(7)对基金剩余财产进行分配。</w:t>
      </w:r>
    </w:p>
    <w:p w14:paraId="206381E2"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5. 基金财产清算的期限为6个月，但因本基金所持证券的流动性受到限制而不能及时变现的，清算期限相应顺延。</w:t>
      </w:r>
    </w:p>
    <w:p w14:paraId="247A7E3D"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6.清算费用</w:t>
      </w:r>
    </w:p>
    <w:p w14:paraId="0A49BA6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清算费用是指基金财产清算小组在进行基金清算过程中发生的所有合理费用，清算费用由基金财产清算小组优先从基金财产中支付。</w:t>
      </w:r>
    </w:p>
    <w:p w14:paraId="4981163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7.基金财产清算剩余资产的分配：</w:t>
      </w:r>
    </w:p>
    <w:p w14:paraId="783E7ED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依据基金财产清算的分配方案，将基金财产清算后的全部剩余资产扣除业绩报酬（如有）、基金财产清算费用、交纳所欠税款并清偿基金债务后，按基金份额持有人持有的基金份额比例进行分配。</w:t>
      </w:r>
    </w:p>
    <w:p w14:paraId="1095F5A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8.基金财产清算的公告</w:t>
      </w:r>
    </w:p>
    <w:p w14:paraId="63FDA377"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清算过程中的有关重大事项须及时公告；基金财产清算报告经具有证券、期货相关业务资格的会计师事务所审计并由律师事务所出具法律意见书后，由基金财</w:t>
      </w:r>
      <w:r>
        <w:rPr>
          <w:rFonts w:ascii="仿宋" w:eastAsia="仿宋" w:hAnsi="仿宋" w:cs="仿宋" w:hint="eastAsia"/>
          <w:sz w:val="24"/>
        </w:rPr>
        <w:lastRenderedPageBreak/>
        <w:t>产清算小组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1474F4F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9.基金财产清算账册及文件的保存</w:t>
      </w:r>
    </w:p>
    <w:p w14:paraId="65E7187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基金财产清算账册及有关文件由基金托管人保存15年以上。</w:t>
      </w:r>
    </w:p>
    <w:p w14:paraId="6DA2CB3F" w14:textId="77777777" w:rsidR="002E5B15" w:rsidRDefault="002E5B15">
      <w:pPr>
        <w:adjustRightInd w:val="0"/>
        <w:snapToGrid w:val="0"/>
        <w:rPr>
          <w:rFonts w:ascii="仿宋" w:eastAsia="仿宋" w:hAnsi="仿宋" w:cs="仿宋"/>
          <w:sz w:val="24"/>
        </w:rPr>
      </w:pPr>
    </w:p>
    <w:p w14:paraId="195C224E" w14:textId="77777777" w:rsidR="002E5B15" w:rsidRDefault="009C5419">
      <w:pPr>
        <w:pStyle w:val="2"/>
        <w:jc w:val="center"/>
        <w:rPr>
          <w:rFonts w:ascii="仿宋" w:eastAsia="仿宋" w:hAnsi="仿宋" w:cs="仿宋"/>
          <w:sz w:val="30"/>
        </w:rPr>
      </w:pPr>
      <w:bookmarkStart w:id="95" w:name="_Toc124325901"/>
      <w:r>
        <w:rPr>
          <w:rFonts w:ascii="仿宋" w:eastAsia="仿宋" w:hAnsi="仿宋" w:cs="仿宋" w:hint="eastAsia"/>
          <w:sz w:val="30"/>
        </w:rPr>
        <w:t>十七、违约责任</w:t>
      </w:r>
      <w:bookmarkEnd w:id="95"/>
    </w:p>
    <w:p w14:paraId="7E9CCBE5"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（一）基金管理人、基金托管人不履行本协议或履行本协议不符合约定的，应当承担违约责任。</w:t>
      </w:r>
    </w:p>
    <w:p w14:paraId="60470DEB"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20EDE8C8"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6208168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1.不可抗力；</w:t>
      </w:r>
    </w:p>
    <w:p w14:paraId="6B54F2A9"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2.基金管理人、基金托管人按照当时有效的法律法规或中国证监会的规定作为或不作为而造成的损失等；</w:t>
      </w:r>
    </w:p>
    <w:p w14:paraId="34EE3162"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3.在没有过错的情况下，基金管理人由于按照《基金合同》规定的投资原则投资或不投资造成的直接损失或潜在损失等；</w:t>
      </w:r>
    </w:p>
    <w:p w14:paraId="30E95D5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4.非因基金管理人、基金托管人的故意或重大过失造成的计算机系统故障、网络故障、通讯故障、电力故障、计算机病毒攻击及其它意外事故所导致的损失等。</w:t>
      </w:r>
    </w:p>
    <w:p w14:paraId="03AE72D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677E689"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（五）违约行为虽已发生，但本托管协议能够继续履行的，在最大限度地保护基金份额持有人利益的前提下，基金管理人和基金托管人应当继续履行本协议。</w:t>
      </w:r>
    </w:p>
    <w:p w14:paraId="50D40676" w14:textId="77777777" w:rsidR="002E5B15" w:rsidRDefault="009C5419">
      <w:pPr>
        <w:adjustRightInd w:val="0"/>
        <w:snapToGrid w:val="0"/>
        <w:ind w:firstLineChars="200" w:firstLine="480"/>
        <w:outlineLvl w:val="0"/>
        <w:rPr>
          <w:rFonts w:ascii="仿宋" w:eastAsia="仿宋" w:hAnsi="仿宋" w:cs="仿宋"/>
          <w:sz w:val="24"/>
        </w:rPr>
      </w:pPr>
      <w:r>
        <w:rPr>
          <w:rFonts w:ascii="仿宋" w:eastAsia="仿宋" w:hAnsi="仿宋" w:cs="仿宋" w:hint="eastAsia"/>
          <w:sz w:val="24"/>
        </w:rPr>
        <w:t>（六）由于基金管理人、基金托管人不可控制的因素导致业务出现差错，基金管理人和基金托管人虽然已经采取必要、适当、合理的措施进行检查，但是未能发</w:t>
      </w:r>
      <w:r>
        <w:rPr>
          <w:rFonts w:ascii="仿宋" w:eastAsia="仿宋" w:hAnsi="仿宋" w:cs="仿宋" w:hint="eastAsia"/>
          <w:sz w:val="24"/>
        </w:rPr>
        <w:lastRenderedPageBreak/>
        <w:t>现错误的，由此造成基金财产或投资人损失，基金管理人和基金托管人免除赔偿责任。但是基金管理人和基金托管人应积极采取必要的措施减轻或消除由此造成的影响。</w:t>
      </w:r>
    </w:p>
    <w:p w14:paraId="7108BDE6" w14:textId="77777777" w:rsidR="002E5B15" w:rsidRDefault="002E5B15">
      <w:pPr>
        <w:adjustRightInd w:val="0"/>
        <w:snapToGrid w:val="0"/>
        <w:outlineLvl w:val="0"/>
        <w:rPr>
          <w:rFonts w:ascii="仿宋" w:eastAsia="仿宋" w:hAnsi="仿宋" w:cs="仿宋"/>
          <w:sz w:val="24"/>
        </w:rPr>
      </w:pPr>
    </w:p>
    <w:p w14:paraId="776A0302" w14:textId="77777777" w:rsidR="002E5B15" w:rsidRDefault="009C5419">
      <w:pPr>
        <w:pStyle w:val="2"/>
        <w:jc w:val="center"/>
        <w:rPr>
          <w:rFonts w:ascii="仿宋" w:eastAsia="仿宋" w:hAnsi="仿宋" w:cs="仿宋"/>
          <w:sz w:val="30"/>
        </w:rPr>
      </w:pPr>
      <w:bookmarkStart w:id="96" w:name="_Toc124325902"/>
      <w:r>
        <w:rPr>
          <w:rFonts w:ascii="仿宋" w:eastAsia="仿宋" w:hAnsi="仿宋" w:cs="仿宋" w:hint="eastAsia"/>
          <w:sz w:val="30"/>
        </w:rPr>
        <w:t>十八、争议解决方式</w:t>
      </w:r>
      <w:bookmarkEnd w:id="96"/>
    </w:p>
    <w:p w14:paraId="390257A4"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29E9086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争议处理期间，双方当事人应恪守基金管理人和基金托管人职责，各自继续忠实、勤勉、尽责地履行《基金合同》和本托管协议规定的义务，维护基金份额持有人的合法权益。</w:t>
      </w:r>
    </w:p>
    <w:p w14:paraId="6BF4C28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本协议受中国法律管辖并从其解释。</w:t>
      </w:r>
    </w:p>
    <w:p w14:paraId="27D827E3" w14:textId="77777777" w:rsidR="002E5B15" w:rsidRDefault="002E5B15">
      <w:pPr>
        <w:adjustRightInd w:val="0"/>
        <w:snapToGrid w:val="0"/>
        <w:rPr>
          <w:rFonts w:ascii="仿宋" w:eastAsia="仿宋" w:hAnsi="仿宋" w:cs="仿宋"/>
          <w:sz w:val="24"/>
        </w:rPr>
      </w:pPr>
    </w:p>
    <w:p w14:paraId="2A7EFDC4" w14:textId="77777777" w:rsidR="002E5B15" w:rsidRDefault="009C5419">
      <w:pPr>
        <w:pStyle w:val="2"/>
        <w:jc w:val="center"/>
        <w:rPr>
          <w:rFonts w:ascii="仿宋" w:eastAsia="仿宋" w:hAnsi="仿宋" w:cs="仿宋"/>
          <w:sz w:val="30"/>
        </w:rPr>
      </w:pPr>
      <w:bookmarkStart w:id="97" w:name="_Toc124325903"/>
      <w:r>
        <w:rPr>
          <w:rFonts w:ascii="仿宋" w:eastAsia="仿宋" w:hAnsi="仿宋" w:cs="仿宋" w:hint="eastAsia"/>
          <w:sz w:val="30"/>
        </w:rPr>
        <w:t>十九、托管协议的效力</w:t>
      </w:r>
      <w:bookmarkEnd w:id="97"/>
    </w:p>
    <w:p w14:paraId="64DA1AEC"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双方对托管协议的效力约定如下：</w:t>
      </w:r>
    </w:p>
    <w:p w14:paraId="1E47BDF5"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14F1AE6"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（二）托管协议自《基金合同》成立之日起成立，自《基金合同》生效之日起生效。托管协议的有效期自其生效之日起至基金财产清算结果报中国证监会备案并公告之日止。</w:t>
      </w:r>
    </w:p>
    <w:p w14:paraId="12C7BA8E"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（三）托管协议自生效之日起对托管协议当事人具有同等的法律约束力。</w:t>
      </w:r>
    </w:p>
    <w:p w14:paraId="134C9AA0" w14:textId="77777777" w:rsidR="002E5B15" w:rsidRDefault="009C5419">
      <w:pPr>
        <w:adjustRightInd w:val="0"/>
        <w:snapToGrid w:val="0"/>
        <w:ind w:firstLineChars="200" w:firstLine="480"/>
        <w:rPr>
          <w:rFonts w:ascii="仿宋" w:eastAsia="仿宋" w:hAnsi="仿宋" w:cs="仿宋"/>
          <w:sz w:val="30"/>
          <w:szCs w:val="30"/>
        </w:rPr>
      </w:pPr>
      <w:r>
        <w:rPr>
          <w:rFonts w:ascii="仿宋" w:eastAsia="仿宋" w:hAnsi="仿宋" w:cs="仿宋" w:hint="eastAsia"/>
          <w:sz w:val="24"/>
        </w:rPr>
        <w:t>（四）本协议一式六份，协议双方各持二份，上报监管机构二份，每份具有同等的法律效力。</w:t>
      </w:r>
    </w:p>
    <w:p w14:paraId="7CD4B913" w14:textId="77777777" w:rsidR="002E5B15" w:rsidRDefault="002E5B15">
      <w:pPr>
        <w:adjustRightInd w:val="0"/>
        <w:snapToGrid w:val="0"/>
        <w:rPr>
          <w:rFonts w:ascii="仿宋" w:eastAsia="仿宋" w:hAnsi="仿宋" w:cs="仿宋"/>
          <w:sz w:val="24"/>
        </w:rPr>
      </w:pPr>
    </w:p>
    <w:p w14:paraId="07CCFCA6" w14:textId="77777777" w:rsidR="002E5B15" w:rsidRDefault="009C5419">
      <w:pPr>
        <w:pStyle w:val="2"/>
        <w:jc w:val="center"/>
        <w:rPr>
          <w:rFonts w:ascii="仿宋" w:eastAsia="仿宋" w:hAnsi="仿宋" w:cs="仿宋"/>
          <w:sz w:val="30"/>
        </w:rPr>
      </w:pPr>
      <w:bookmarkStart w:id="98" w:name="_Toc124325904"/>
      <w:r>
        <w:rPr>
          <w:rFonts w:ascii="仿宋" w:eastAsia="仿宋" w:hAnsi="仿宋" w:cs="仿宋" w:hint="eastAsia"/>
          <w:sz w:val="30"/>
        </w:rPr>
        <w:lastRenderedPageBreak/>
        <w:t>二十、其他事项</w:t>
      </w:r>
      <w:bookmarkEnd w:id="98"/>
    </w:p>
    <w:p w14:paraId="5E0531C3"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如发生有权司法机关依法冻结基金份额持有人的基金份额时，基金管理人应予以配合，承担司法协助义务。</w:t>
      </w:r>
    </w:p>
    <w:p w14:paraId="0852EE4B"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除本协议有明确定义外，本协议的用语定义适用《基金合同》的约定。本协议未尽事宜，当事人依据《基金合同》、有关法律法规等规定协商办理。</w:t>
      </w:r>
    </w:p>
    <w:p w14:paraId="708C6EA9" w14:textId="77777777" w:rsidR="002E5B15" w:rsidRDefault="002E5B15">
      <w:pPr>
        <w:adjustRightInd w:val="0"/>
        <w:snapToGrid w:val="0"/>
        <w:rPr>
          <w:rFonts w:ascii="仿宋" w:eastAsia="仿宋" w:hAnsi="仿宋" w:cs="仿宋"/>
          <w:b/>
          <w:bCs/>
        </w:rPr>
      </w:pPr>
    </w:p>
    <w:p w14:paraId="567E4B2B" w14:textId="77777777" w:rsidR="002E5B15" w:rsidRDefault="009C5419">
      <w:pPr>
        <w:pStyle w:val="2"/>
        <w:jc w:val="center"/>
        <w:rPr>
          <w:rFonts w:ascii="仿宋" w:eastAsia="仿宋" w:hAnsi="仿宋" w:cs="仿宋"/>
          <w:sz w:val="30"/>
        </w:rPr>
      </w:pPr>
      <w:bookmarkStart w:id="99" w:name="_Toc124325905"/>
      <w:r>
        <w:rPr>
          <w:rFonts w:ascii="仿宋" w:eastAsia="仿宋" w:hAnsi="仿宋" w:cs="仿宋" w:hint="eastAsia"/>
          <w:sz w:val="30"/>
        </w:rPr>
        <w:t>二十一、托管协议的签订</w:t>
      </w:r>
      <w:bookmarkEnd w:id="99"/>
    </w:p>
    <w:p w14:paraId="4616A18A" w14:textId="77777777" w:rsidR="002E5B15" w:rsidRDefault="009C5419">
      <w:pPr>
        <w:adjustRightInd w:val="0"/>
        <w:snapToGrid w:val="0"/>
        <w:ind w:firstLineChars="200" w:firstLine="480"/>
        <w:rPr>
          <w:rFonts w:ascii="仿宋" w:eastAsia="仿宋" w:hAnsi="仿宋" w:cs="仿宋"/>
          <w:sz w:val="24"/>
        </w:rPr>
      </w:pPr>
      <w:r>
        <w:rPr>
          <w:rFonts w:ascii="仿宋" w:eastAsia="仿宋" w:hAnsi="仿宋" w:cs="仿宋" w:hint="eastAsia"/>
          <w:sz w:val="24"/>
        </w:rPr>
        <w:t>本协议双方法定代表人或授权代表签章、签订地、签订日</w:t>
      </w:r>
    </w:p>
    <w:p w14:paraId="6D3FFAB4" w14:textId="77777777" w:rsidR="002E5B15" w:rsidRDefault="002E5B15">
      <w:pPr>
        <w:adjustRightInd w:val="0"/>
        <w:snapToGrid w:val="0"/>
        <w:ind w:firstLineChars="200" w:firstLine="480"/>
        <w:rPr>
          <w:rFonts w:ascii="仿宋" w:eastAsia="仿宋" w:hAnsi="仿宋" w:cs="仿宋"/>
          <w:sz w:val="24"/>
        </w:rPr>
        <w:sectPr w:rsidR="002E5B15">
          <w:headerReference w:type="default" r:id="rId8"/>
          <w:pgSz w:w="11906" w:h="16838"/>
          <w:pgMar w:top="1418" w:right="1701" w:bottom="1418" w:left="1701" w:header="851" w:footer="992" w:gutter="0"/>
          <w:cols w:space="425"/>
          <w:docGrid w:type="lines" w:linePitch="312"/>
        </w:sectPr>
      </w:pPr>
    </w:p>
    <w:p w14:paraId="4A81C7D9" w14:textId="77777777" w:rsidR="002E5B15" w:rsidRDefault="009C5419">
      <w:pPr>
        <w:spacing w:line="360" w:lineRule="auto"/>
        <w:ind w:right="26"/>
        <w:rPr>
          <w:rFonts w:ascii="仿宋" w:eastAsia="仿宋" w:hAnsi="仿宋" w:cs="仿宋"/>
          <w:sz w:val="24"/>
        </w:rPr>
      </w:pPr>
      <w:r>
        <w:rPr>
          <w:rFonts w:ascii="仿宋" w:eastAsia="仿宋" w:hAnsi="仿宋" w:cs="仿宋" w:hint="eastAsia"/>
          <w:sz w:val="24"/>
        </w:rPr>
        <w:lastRenderedPageBreak/>
        <w:t>本页无正文，为《景顺长城价值领航两年持有期混合型证券投资基金托管协议》的签字盖章页。</w:t>
      </w:r>
    </w:p>
    <w:p w14:paraId="6FDC9E6E" w14:textId="77777777" w:rsidR="002E5B15" w:rsidRDefault="002E5B15">
      <w:pPr>
        <w:spacing w:line="360" w:lineRule="auto"/>
        <w:rPr>
          <w:rFonts w:ascii="仿宋" w:eastAsia="仿宋" w:hAnsi="仿宋" w:cs="仿宋"/>
          <w:sz w:val="24"/>
        </w:rPr>
      </w:pPr>
    </w:p>
    <w:p w14:paraId="7DB6D08D" w14:textId="77777777" w:rsidR="002E5B15" w:rsidRDefault="002E5B15">
      <w:pPr>
        <w:spacing w:line="360" w:lineRule="auto"/>
        <w:rPr>
          <w:rFonts w:ascii="仿宋" w:eastAsia="仿宋" w:hAnsi="仿宋" w:cs="仿宋"/>
          <w:sz w:val="24"/>
        </w:rPr>
      </w:pPr>
    </w:p>
    <w:p w14:paraId="696BB552" w14:textId="77777777" w:rsidR="002E5B15" w:rsidRDefault="009C5419">
      <w:pPr>
        <w:spacing w:line="360" w:lineRule="auto"/>
        <w:ind w:right="26"/>
        <w:rPr>
          <w:rFonts w:ascii="仿宋" w:eastAsia="仿宋" w:hAnsi="仿宋" w:cs="仿宋"/>
          <w:sz w:val="24"/>
        </w:rPr>
      </w:pPr>
      <w:r>
        <w:rPr>
          <w:rFonts w:ascii="仿宋" w:eastAsia="仿宋" w:hAnsi="仿宋" w:cs="仿宋" w:hint="eastAsia"/>
          <w:sz w:val="24"/>
        </w:rPr>
        <w:t>基金管理人：景顺长城基金管理有限公司（盖章）</w:t>
      </w:r>
    </w:p>
    <w:p w14:paraId="6417ED9E" w14:textId="77777777" w:rsidR="002E5B15" w:rsidRDefault="002E5B15">
      <w:pPr>
        <w:spacing w:line="360" w:lineRule="auto"/>
        <w:ind w:right="26"/>
        <w:rPr>
          <w:rFonts w:ascii="仿宋" w:eastAsia="仿宋" w:hAnsi="仿宋" w:cs="仿宋"/>
          <w:sz w:val="24"/>
        </w:rPr>
      </w:pPr>
    </w:p>
    <w:p w14:paraId="0503B6A5" w14:textId="77777777" w:rsidR="002E5B15" w:rsidRDefault="009C5419">
      <w:pPr>
        <w:spacing w:line="360" w:lineRule="auto"/>
        <w:ind w:right="26"/>
        <w:rPr>
          <w:rFonts w:ascii="仿宋" w:eastAsia="仿宋" w:hAnsi="仿宋" w:cs="仿宋"/>
          <w:sz w:val="24"/>
        </w:rPr>
      </w:pPr>
      <w:r>
        <w:rPr>
          <w:rFonts w:ascii="仿宋" w:eastAsia="仿宋" w:hAnsi="仿宋" w:cs="仿宋" w:hint="eastAsia"/>
          <w:sz w:val="24"/>
        </w:rPr>
        <w:t xml:space="preserve">法定代表人或授权代表：                   </w:t>
      </w:r>
    </w:p>
    <w:p w14:paraId="7A828F29" w14:textId="77777777" w:rsidR="002E5B15" w:rsidRDefault="002E5B15">
      <w:pPr>
        <w:spacing w:line="360" w:lineRule="auto"/>
        <w:ind w:right="26"/>
        <w:rPr>
          <w:rFonts w:ascii="仿宋" w:eastAsia="仿宋" w:hAnsi="仿宋" w:cs="仿宋"/>
          <w:sz w:val="24"/>
        </w:rPr>
      </w:pPr>
    </w:p>
    <w:p w14:paraId="7DBB1313" w14:textId="77777777" w:rsidR="002E5B15" w:rsidRDefault="002E5B15">
      <w:pPr>
        <w:spacing w:line="360" w:lineRule="auto"/>
        <w:ind w:right="26"/>
        <w:rPr>
          <w:rFonts w:ascii="仿宋" w:eastAsia="仿宋" w:hAnsi="仿宋" w:cs="仿宋"/>
          <w:sz w:val="24"/>
        </w:rPr>
      </w:pPr>
    </w:p>
    <w:p w14:paraId="0CD7B16C" w14:textId="77777777" w:rsidR="002E5B15" w:rsidRDefault="002E5B15">
      <w:pPr>
        <w:spacing w:line="360" w:lineRule="auto"/>
        <w:ind w:right="26"/>
        <w:rPr>
          <w:rFonts w:ascii="仿宋" w:eastAsia="仿宋" w:hAnsi="仿宋" w:cs="仿宋"/>
          <w:sz w:val="24"/>
        </w:rPr>
      </w:pPr>
    </w:p>
    <w:p w14:paraId="49BE36E7" w14:textId="77777777" w:rsidR="002E5B15" w:rsidRDefault="002E5B15">
      <w:pPr>
        <w:spacing w:line="360" w:lineRule="auto"/>
        <w:ind w:right="26"/>
        <w:rPr>
          <w:rFonts w:ascii="仿宋" w:eastAsia="仿宋" w:hAnsi="仿宋" w:cs="仿宋"/>
          <w:sz w:val="24"/>
        </w:rPr>
      </w:pPr>
    </w:p>
    <w:p w14:paraId="214D1E60" w14:textId="77777777" w:rsidR="002E5B15" w:rsidRDefault="009C5419">
      <w:pPr>
        <w:spacing w:line="360" w:lineRule="auto"/>
        <w:ind w:right="26"/>
        <w:rPr>
          <w:rFonts w:ascii="仿宋" w:eastAsia="仿宋" w:hAnsi="仿宋" w:cs="仿宋"/>
          <w:sz w:val="24"/>
        </w:rPr>
      </w:pPr>
      <w:r>
        <w:rPr>
          <w:rFonts w:ascii="仿宋" w:eastAsia="仿宋" w:hAnsi="仿宋" w:cs="仿宋" w:hint="eastAsia"/>
          <w:sz w:val="24"/>
        </w:rPr>
        <w:t>基金托管人：中国建设银行股份有限公司（盖章）</w:t>
      </w:r>
    </w:p>
    <w:p w14:paraId="26931647" w14:textId="77777777" w:rsidR="002E5B15" w:rsidRDefault="002E5B15">
      <w:pPr>
        <w:spacing w:line="360" w:lineRule="auto"/>
        <w:ind w:right="26"/>
        <w:rPr>
          <w:rFonts w:ascii="仿宋" w:eastAsia="仿宋" w:hAnsi="仿宋" w:cs="仿宋"/>
          <w:sz w:val="24"/>
        </w:rPr>
      </w:pPr>
    </w:p>
    <w:p w14:paraId="73CA6D9E" w14:textId="77777777" w:rsidR="002E5B15" w:rsidRDefault="009C5419">
      <w:pPr>
        <w:spacing w:line="360" w:lineRule="auto"/>
        <w:ind w:right="26"/>
        <w:rPr>
          <w:rFonts w:ascii="仿宋" w:eastAsia="仿宋" w:hAnsi="仿宋" w:cs="仿宋"/>
          <w:sz w:val="24"/>
        </w:rPr>
      </w:pPr>
      <w:r>
        <w:rPr>
          <w:rFonts w:ascii="仿宋" w:eastAsia="仿宋" w:hAnsi="仿宋" w:cs="仿宋" w:hint="eastAsia"/>
          <w:sz w:val="24"/>
        </w:rPr>
        <w:t xml:space="preserve">法定代表人或授权代表：                   </w:t>
      </w:r>
    </w:p>
    <w:p w14:paraId="37DC3FB5" w14:textId="77777777" w:rsidR="002E5B15" w:rsidRDefault="002E5B15">
      <w:pPr>
        <w:spacing w:line="360" w:lineRule="auto"/>
        <w:ind w:right="26"/>
        <w:rPr>
          <w:rFonts w:ascii="仿宋" w:eastAsia="仿宋" w:hAnsi="仿宋" w:cs="仿宋"/>
          <w:b/>
          <w:sz w:val="24"/>
          <w:szCs w:val="28"/>
        </w:rPr>
      </w:pPr>
    </w:p>
    <w:p w14:paraId="1784DF98" w14:textId="77777777" w:rsidR="002E5B15" w:rsidRDefault="002E5B15">
      <w:pPr>
        <w:spacing w:line="360" w:lineRule="auto"/>
        <w:ind w:right="26"/>
        <w:rPr>
          <w:rFonts w:ascii="仿宋" w:eastAsia="仿宋" w:hAnsi="仿宋" w:cs="仿宋"/>
          <w:b/>
          <w:sz w:val="24"/>
          <w:szCs w:val="28"/>
        </w:rPr>
      </w:pPr>
    </w:p>
    <w:p w14:paraId="5F827FB7" w14:textId="77777777" w:rsidR="002E5B15" w:rsidRDefault="002E5B15">
      <w:pPr>
        <w:spacing w:line="360" w:lineRule="auto"/>
        <w:ind w:right="26"/>
        <w:rPr>
          <w:rFonts w:ascii="仿宋" w:eastAsia="仿宋" w:hAnsi="仿宋" w:cs="仿宋"/>
          <w:b/>
          <w:sz w:val="24"/>
          <w:szCs w:val="28"/>
        </w:rPr>
      </w:pPr>
    </w:p>
    <w:p w14:paraId="2C6A83D8" w14:textId="77777777" w:rsidR="002E5B15" w:rsidRDefault="009C5419">
      <w:pPr>
        <w:spacing w:line="360" w:lineRule="auto"/>
        <w:ind w:right="26"/>
        <w:rPr>
          <w:rFonts w:ascii="仿宋" w:eastAsia="仿宋" w:hAnsi="仿宋" w:cs="仿宋"/>
          <w:b/>
          <w:sz w:val="24"/>
          <w:szCs w:val="28"/>
        </w:rPr>
      </w:pPr>
      <w:r>
        <w:rPr>
          <w:rFonts w:ascii="仿宋" w:eastAsia="仿宋" w:hAnsi="仿宋" w:cs="仿宋" w:hint="eastAsia"/>
          <w:b/>
          <w:sz w:val="24"/>
          <w:szCs w:val="28"/>
        </w:rPr>
        <w:t>签订地点：北京</w:t>
      </w:r>
    </w:p>
    <w:p w14:paraId="70AF358C" w14:textId="7D69DFE6" w:rsidR="002E5B15" w:rsidRDefault="009C5419" w:rsidP="007F0542">
      <w:pPr>
        <w:spacing w:line="360" w:lineRule="auto"/>
        <w:ind w:right="26"/>
        <w:rPr>
          <w:rFonts w:ascii="仿宋" w:eastAsia="仿宋" w:hAnsi="仿宋" w:cs="仿宋"/>
          <w:sz w:val="24"/>
        </w:rPr>
      </w:pPr>
      <w:r>
        <w:rPr>
          <w:rFonts w:ascii="仿宋" w:eastAsia="仿宋" w:hAnsi="仿宋" w:cs="仿宋" w:hint="eastAsia"/>
          <w:b/>
          <w:sz w:val="24"/>
          <w:szCs w:val="28"/>
        </w:rPr>
        <w:t>签 订 日：二零</w:t>
      </w:r>
      <w:r w:rsidR="00113B2B">
        <w:rPr>
          <w:rFonts w:ascii="仿宋" w:eastAsia="仿宋" w:hAnsi="仿宋" w:cs="仿宋" w:hint="eastAsia"/>
          <w:b/>
          <w:sz w:val="24"/>
          <w:szCs w:val="28"/>
        </w:rPr>
        <w:t xml:space="preserve"> </w:t>
      </w:r>
      <w:r w:rsidR="00113B2B">
        <w:rPr>
          <w:rFonts w:ascii="仿宋" w:eastAsia="仿宋" w:hAnsi="仿宋" w:cs="仿宋"/>
          <w:b/>
          <w:sz w:val="24"/>
          <w:szCs w:val="28"/>
        </w:rPr>
        <w:t xml:space="preserve"> </w:t>
      </w:r>
      <w:r>
        <w:rPr>
          <w:rFonts w:ascii="仿宋" w:eastAsia="仿宋" w:hAnsi="仿宋" w:cs="仿宋" w:hint="eastAsia"/>
          <w:b/>
          <w:sz w:val="24"/>
          <w:szCs w:val="28"/>
        </w:rPr>
        <w:t>年 月 日</w:t>
      </w:r>
      <w:bookmarkStart w:id="100" w:name="_GoBack"/>
      <w:bookmarkEnd w:id="100"/>
    </w:p>
    <w:p w14:paraId="0CA641FC" w14:textId="77777777" w:rsidR="002E5B15" w:rsidRDefault="002E5B15">
      <w:pPr>
        <w:rPr>
          <w:rFonts w:ascii="仿宋" w:eastAsia="仿宋" w:hAnsi="仿宋" w:cs="仿宋"/>
        </w:rPr>
      </w:pPr>
    </w:p>
    <w:p w14:paraId="613E196A" w14:textId="77777777" w:rsidR="002E5B15" w:rsidRDefault="002E5B15">
      <w:pPr>
        <w:rPr>
          <w:rFonts w:ascii="仿宋" w:eastAsia="仿宋" w:hAnsi="仿宋" w:cs="仿宋"/>
        </w:rPr>
      </w:pPr>
    </w:p>
    <w:p w14:paraId="2661F28B" w14:textId="77777777" w:rsidR="002E5B15" w:rsidRDefault="002E5B15">
      <w:pPr>
        <w:rPr>
          <w:rFonts w:ascii="仿宋" w:eastAsia="仿宋" w:hAnsi="仿宋" w:cs="仿宋"/>
        </w:rPr>
      </w:pPr>
    </w:p>
    <w:sectPr w:rsidR="002E5B15">
      <w:headerReference w:type="default" r:id="rId9"/>
      <w:footerReference w:type="default" r:id="rId10"/>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791BE" w14:textId="77777777" w:rsidR="00060762" w:rsidRDefault="00060762">
      <w:r>
        <w:separator/>
      </w:r>
    </w:p>
  </w:endnote>
  <w:endnote w:type="continuationSeparator" w:id="0">
    <w:p w14:paraId="0A3C4E90" w14:textId="77777777" w:rsidR="00060762" w:rsidRDefault="0006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仿宋"/>
    <w:panose1 w:val="02010609060101010101"/>
    <w:charset w:val="86"/>
    <w:family w:val="modern"/>
    <w:pitch w:val="fixed"/>
    <w:sig w:usb0="00000001" w:usb1="080E0000" w:usb2="00000010" w:usb3="00000000" w:csb0="00040000" w:csb1="00000000"/>
  </w:font>
  <w:font w:name="方正仿宋简体">
    <w:altName w:val="方正舒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KaiTi_GB2312">
    <w:altName w:val="楷体"/>
    <w:panose1 w:val="0201060906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彩虹粗仿宋">
    <w:altName w:val="Malgun Gothic Semilight"/>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BB7E5" w14:textId="77777777" w:rsidR="00EB6512" w:rsidRDefault="00EB651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63B55" w14:textId="77777777" w:rsidR="00060762" w:rsidRDefault="00060762">
      <w:r>
        <w:separator/>
      </w:r>
    </w:p>
  </w:footnote>
  <w:footnote w:type="continuationSeparator" w:id="0">
    <w:p w14:paraId="58256538" w14:textId="77777777" w:rsidR="00060762" w:rsidRDefault="000607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AE670" w14:textId="77777777" w:rsidR="00EB6512" w:rsidRDefault="00EB6512">
    <w:pPr>
      <w:pStyle w:val="aa"/>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B9780" w14:textId="77777777" w:rsidR="00EB6512" w:rsidRDefault="00EB651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21"/>
    <w:rsid w:val="00030E4A"/>
    <w:rsid w:val="00035FE5"/>
    <w:rsid w:val="00056E40"/>
    <w:rsid w:val="00060762"/>
    <w:rsid w:val="0007082D"/>
    <w:rsid w:val="0009081D"/>
    <w:rsid w:val="000B4D00"/>
    <w:rsid w:val="000E03CD"/>
    <w:rsid w:val="000F190B"/>
    <w:rsid w:val="00110674"/>
    <w:rsid w:val="00110A47"/>
    <w:rsid w:val="00113B2B"/>
    <w:rsid w:val="00117201"/>
    <w:rsid w:val="00120ADD"/>
    <w:rsid w:val="00121B39"/>
    <w:rsid w:val="001242DC"/>
    <w:rsid w:val="00140814"/>
    <w:rsid w:val="00146DED"/>
    <w:rsid w:val="001560C7"/>
    <w:rsid w:val="001649F8"/>
    <w:rsid w:val="001B70B6"/>
    <w:rsid w:val="001F5895"/>
    <w:rsid w:val="00214C37"/>
    <w:rsid w:val="0023212A"/>
    <w:rsid w:val="00246649"/>
    <w:rsid w:val="002555B6"/>
    <w:rsid w:val="0029299E"/>
    <w:rsid w:val="002A5B40"/>
    <w:rsid w:val="002B5913"/>
    <w:rsid w:val="002C58AC"/>
    <w:rsid w:val="002C76A0"/>
    <w:rsid w:val="002E5B15"/>
    <w:rsid w:val="002F0BD5"/>
    <w:rsid w:val="00303F70"/>
    <w:rsid w:val="00317654"/>
    <w:rsid w:val="00317F54"/>
    <w:rsid w:val="0034535E"/>
    <w:rsid w:val="0039287F"/>
    <w:rsid w:val="00397DB2"/>
    <w:rsid w:val="003B2B2F"/>
    <w:rsid w:val="003B78B3"/>
    <w:rsid w:val="003B7B18"/>
    <w:rsid w:val="003C5588"/>
    <w:rsid w:val="003D5D71"/>
    <w:rsid w:val="00411585"/>
    <w:rsid w:val="00477CB2"/>
    <w:rsid w:val="0048461D"/>
    <w:rsid w:val="00491C08"/>
    <w:rsid w:val="004963EE"/>
    <w:rsid w:val="004A2D2E"/>
    <w:rsid w:val="004B020D"/>
    <w:rsid w:val="004C2829"/>
    <w:rsid w:val="004D268E"/>
    <w:rsid w:val="004D4F7C"/>
    <w:rsid w:val="004F05EC"/>
    <w:rsid w:val="00531CEA"/>
    <w:rsid w:val="0053771E"/>
    <w:rsid w:val="005430CD"/>
    <w:rsid w:val="00561F11"/>
    <w:rsid w:val="005649D6"/>
    <w:rsid w:val="005744FA"/>
    <w:rsid w:val="005777DE"/>
    <w:rsid w:val="0059632C"/>
    <w:rsid w:val="005A56FB"/>
    <w:rsid w:val="005B63DB"/>
    <w:rsid w:val="005C389E"/>
    <w:rsid w:val="005E73A9"/>
    <w:rsid w:val="005F491B"/>
    <w:rsid w:val="00602C1A"/>
    <w:rsid w:val="00604ABD"/>
    <w:rsid w:val="00610591"/>
    <w:rsid w:val="00610890"/>
    <w:rsid w:val="00613ABF"/>
    <w:rsid w:val="00620338"/>
    <w:rsid w:val="006300F0"/>
    <w:rsid w:val="00642561"/>
    <w:rsid w:val="00684AD6"/>
    <w:rsid w:val="00692460"/>
    <w:rsid w:val="006949E7"/>
    <w:rsid w:val="006A3B56"/>
    <w:rsid w:val="006B195E"/>
    <w:rsid w:val="006E3930"/>
    <w:rsid w:val="006E4B9D"/>
    <w:rsid w:val="00700611"/>
    <w:rsid w:val="00726AD3"/>
    <w:rsid w:val="007303AC"/>
    <w:rsid w:val="00744FB1"/>
    <w:rsid w:val="007619FE"/>
    <w:rsid w:val="00793158"/>
    <w:rsid w:val="00794B18"/>
    <w:rsid w:val="007A4FDD"/>
    <w:rsid w:val="007B6DBF"/>
    <w:rsid w:val="007C2405"/>
    <w:rsid w:val="007C4CD6"/>
    <w:rsid w:val="007C7920"/>
    <w:rsid w:val="007F0542"/>
    <w:rsid w:val="00805759"/>
    <w:rsid w:val="00823481"/>
    <w:rsid w:val="00846965"/>
    <w:rsid w:val="00852CB8"/>
    <w:rsid w:val="00897EBE"/>
    <w:rsid w:val="008C1421"/>
    <w:rsid w:val="008C69A3"/>
    <w:rsid w:val="008C77BB"/>
    <w:rsid w:val="008E0209"/>
    <w:rsid w:val="00915A33"/>
    <w:rsid w:val="00921143"/>
    <w:rsid w:val="00922162"/>
    <w:rsid w:val="00936F95"/>
    <w:rsid w:val="00945CD7"/>
    <w:rsid w:val="00957FDF"/>
    <w:rsid w:val="009724E6"/>
    <w:rsid w:val="009C04AB"/>
    <w:rsid w:val="009C5419"/>
    <w:rsid w:val="009D4709"/>
    <w:rsid w:val="009D78B5"/>
    <w:rsid w:val="009E24C2"/>
    <w:rsid w:val="009E545C"/>
    <w:rsid w:val="00A052DC"/>
    <w:rsid w:val="00A10161"/>
    <w:rsid w:val="00A140C2"/>
    <w:rsid w:val="00A16678"/>
    <w:rsid w:val="00A2033E"/>
    <w:rsid w:val="00A36FB4"/>
    <w:rsid w:val="00A43F4E"/>
    <w:rsid w:val="00A442DF"/>
    <w:rsid w:val="00A60188"/>
    <w:rsid w:val="00A75273"/>
    <w:rsid w:val="00A804E6"/>
    <w:rsid w:val="00A914DF"/>
    <w:rsid w:val="00AA77F4"/>
    <w:rsid w:val="00AC2687"/>
    <w:rsid w:val="00AC4515"/>
    <w:rsid w:val="00AC528C"/>
    <w:rsid w:val="00AD2CF6"/>
    <w:rsid w:val="00AD3DE7"/>
    <w:rsid w:val="00B6172E"/>
    <w:rsid w:val="00B76183"/>
    <w:rsid w:val="00B83C34"/>
    <w:rsid w:val="00BA32C6"/>
    <w:rsid w:val="00BB7C91"/>
    <w:rsid w:val="00BC5BA6"/>
    <w:rsid w:val="00BE05FF"/>
    <w:rsid w:val="00BE6E0F"/>
    <w:rsid w:val="00C05A4C"/>
    <w:rsid w:val="00C07BD2"/>
    <w:rsid w:val="00C156A8"/>
    <w:rsid w:val="00C3101A"/>
    <w:rsid w:val="00C358F0"/>
    <w:rsid w:val="00C42F51"/>
    <w:rsid w:val="00C57416"/>
    <w:rsid w:val="00C67777"/>
    <w:rsid w:val="00C70608"/>
    <w:rsid w:val="00C83D78"/>
    <w:rsid w:val="00C90A3D"/>
    <w:rsid w:val="00C9124D"/>
    <w:rsid w:val="00C97FA9"/>
    <w:rsid w:val="00CB7CD1"/>
    <w:rsid w:val="00CD5F6B"/>
    <w:rsid w:val="00D306BD"/>
    <w:rsid w:val="00D60508"/>
    <w:rsid w:val="00D66DEC"/>
    <w:rsid w:val="00D827F2"/>
    <w:rsid w:val="00DA345F"/>
    <w:rsid w:val="00DA777E"/>
    <w:rsid w:val="00DB7B29"/>
    <w:rsid w:val="00DD69F2"/>
    <w:rsid w:val="00DF4433"/>
    <w:rsid w:val="00E04FD7"/>
    <w:rsid w:val="00E33CB2"/>
    <w:rsid w:val="00E669D8"/>
    <w:rsid w:val="00E811DE"/>
    <w:rsid w:val="00E81F0E"/>
    <w:rsid w:val="00E97165"/>
    <w:rsid w:val="00EA67AF"/>
    <w:rsid w:val="00EA6D4A"/>
    <w:rsid w:val="00EB509E"/>
    <w:rsid w:val="00EB6512"/>
    <w:rsid w:val="00EC7A2F"/>
    <w:rsid w:val="00ED12E7"/>
    <w:rsid w:val="00EE2F9A"/>
    <w:rsid w:val="00EF1875"/>
    <w:rsid w:val="00F1454A"/>
    <w:rsid w:val="00F15168"/>
    <w:rsid w:val="00F20626"/>
    <w:rsid w:val="00F43BA0"/>
    <w:rsid w:val="00F51E8A"/>
    <w:rsid w:val="00F710B1"/>
    <w:rsid w:val="00F85E66"/>
    <w:rsid w:val="00F90DBC"/>
    <w:rsid w:val="00FA3FF7"/>
    <w:rsid w:val="00FB58D4"/>
    <w:rsid w:val="00FB628D"/>
    <w:rsid w:val="00FD4D31"/>
    <w:rsid w:val="00FE1472"/>
    <w:rsid w:val="156465C1"/>
    <w:rsid w:val="4BA96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A176"/>
  <w15:docId w15:val="{1B4784CF-BD5B-4D43-BBA6-2B7E152F2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qFormat="1"/>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SimSun" w:hAnsi="Times New Roman" w:cs="Times New Roman"/>
      <w:kern w:val="2"/>
      <w:sz w:val="21"/>
      <w:szCs w:val="24"/>
    </w:rPr>
  </w:style>
  <w:style w:type="paragraph" w:styleId="2">
    <w:name w:val="heading 2"/>
    <w:basedOn w:val="a"/>
    <w:next w:val="a0"/>
    <w:link w:val="2Char"/>
    <w:qFormat/>
    <w:pPr>
      <w:keepNext/>
      <w:keepLines/>
      <w:spacing w:before="260" w:after="260" w:line="416" w:lineRule="auto"/>
      <w:outlineLvl w:val="1"/>
    </w:pPr>
    <w:rPr>
      <w:rFonts w:ascii="Arial" w:eastAsia="SimHei"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Char"/>
    <w:rPr>
      <w:b/>
      <w:bCs/>
    </w:rPr>
  </w:style>
  <w:style w:type="paragraph" w:styleId="a5">
    <w:name w:val="annotation text"/>
    <w:basedOn w:val="a"/>
    <w:link w:val="Char0"/>
    <w:qFormat/>
    <w:pPr>
      <w:jc w:val="left"/>
    </w:pPr>
  </w:style>
  <w:style w:type="paragraph" w:styleId="7">
    <w:name w:val="toc 7"/>
    <w:basedOn w:val="a"/>
    <w:next w:val="a"/>
    <w:semiHidden/>
    <w:pPr>
      <w:ind w:leftChars="1200" w:left="2520"/>
    </w:pPr>
  </w:style>
  <w:style w:type="paragraph" w:styleId="a6">
    <w:name w:val="Body Text"/>
    <w:basedOn w:val="a"/>
    <w:link w:val="Char1"/>
    <w:pPr>
      <w:spacing w:line="360" w:lineRule="auto"/>
    </w:pPr>
    <w:rPr>
      <w:rFonts w:ascii="FangSong_GB2312" w:eastAsia="FangSong_GB2312"/>
      <w:color w:val="000000"/>
      <w:kern w:val="0"/>
      <w:sz w:val="24"/>
      <w:szCs w:val="28"/>
    </w:rPr>
  </w:style>
  <w:style w:type="paragraph" w:styleId="a7">
    <w:name w:val="Body Text Indent"/>
    <w:basedOn w:val="a"/>
    <w:link w:val="Char2"/>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pPr>
      <w:ind w:leftChars="400" w:left="840"/>
    </w:pPr>
  </w:style>
  <w:style w:type="paragraph" w:styleId="8">
    <w:name w:val="toc 8"/>
    <w:basedOn w:val="a"/>
    <w:next w:val="a"/>
    <w:semiHidden/>
    <w:pPr>
      <w:ind w:leftChars="1400" w:left="2940"/>
    </w:pPr>
  </w:style>
  <w:style w:type="paragraph" w:styleId="20">
    <w:name w:val="Body Text Indent 2"/>
    <w:basedOn w:val="a"/>
    <w:link w:val="2Char0"/>
    <w:pPr>
      <w:spacing w:line="360" w:lineRule="auto"/>
      <w:ind w:firstLine="525"/>
    </w:pPr>
    <w:rPr>
      <w:rFonts w:ascii="SimSun" w:hAnsi="SimSun"/>
      <w:sz w:val="28"/>
      <w:szCs w:val="20"/>
    </w:rPr>
  </w:style>
  <w:style w:type="paragraph" w:styleId="a8">
    <w:name w:val="Balloon Text"/>
    <w:basedOn w:val="a"/>
    <w:link w:val="Char3"/>
    <w:semiHidden/>
    <w:rPr>
      <w:sz w:val="18"/>
      <w:szCs w:val="18"/>
    </w:rPr>
  </w:style>
  <w:style w:type="paragraph" w:styleId="a9">
    <w:name w:val="footer"/>
    <w:basedOn w:val="a"/>
    <w:link w:val="Char4"/>
    <w:unhideWhenUsed/>
    <w:pPr>
      <w:tabs>
        <w:tab w:val="center" w:pos="4153"/>
        <w:tab w:val="right" w:pos="8306"/>
      </w:tabs>
      <w:snapToGrid w:val="0"/>
      <w:jc w:val="left"/>
    </w:pPr>
    <w:rPr>
      <w:sz w:val="18"/>
      <w:szCs w:val="18"/>
    </w:rPr>
  </w:style>
  <w:style w:type="paragraph" w:styleId="aa">
    <w:name w:val="header"/>
    <w:basedOn w:val="a"/>
    <w:link w:val="Char5"/>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pPr>
      <w:ind w:leftChars="600" w:left="1260"/>
    </w:pPr>
  </w:style>
  <w:style w:type="paragraph" w:styleId="6">
    <w:name w:val="toc 6"/>
    <w:basedOn w:val="a"/>
    <w:next w:val="a"/>
    <w:semiHidden/>
    <w:pPr>
      <w:ind w:leftChars="1000" w:left="2100"/>
    </w:pPr>
  </w:style>
  <w:style w:type="paragraph" w:styleId="30">
    <w:name w:val="Body Text Indent 3"/>
    <w:basedOn w:val="a"/>
    <w:link w:val="3Char"/>
    <w:pPr>
      <w:adjustRightInd w:val="0"/>
      <w:snapToGrid w:val="0"/>
      <w:ind w:firstLineChars="200" w:firstLine="480"/>
    </w:pPr>
    <w:rPr>
      <w:rFonts w:ascii="FangSong_GB2312" w:eastAsia="FangSong_GB2312" w:hAnsi="SimSun" w:cs="Arial"/>
      <w:color w:val="000000"/>
      <w:sz w:val="24"/>
    </w:rPr>
  </w:style>
  <w:style w:type="paragraph" w:styleId="21">
    <w:name w:val="toc 2"/>
    <w:basedOn w:val="a"/>
    <w:next w:val="a"/>
    <w:semiHidden/>
    <w:pPr>
      <w:ind w:leftChars="200" w:left="420"/>
    </w:pPr>
  </w:style>
  <w:style w:type="paragraph" w:styleId="9">
    <w:name w:val="toc 9"/>
    <w:basedOn w:val="a"/>
    <w:next w:val="a"/>
    <w:semiHidden/>
    <w:pPr>
      <w:ind w:leftChars="1600" w:left="3360"/>
    </w:pPr>
  </w:style>
  <w:style w:type="paragraph" w:styleId="HTML">
    <w:name w:val="HTML Preformatted"/>
    <w:basedOn w:val="a"/>
    <w:link w:val="HTML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SimSun"/>
      <w:kern w:val="0"/>
      <w:sz w:val="24"/>
    </w:rPr>
  </w:style>
  <w:style w:type="paragraph" w:styleId="ab">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c">
    <w:name w:val="Strong"/>
    <w:qFormat/>
    <w:rPr>
      <w:b/>
      <w:bCs/>
    </w:rPr>
  </w:style>
  <w:style w:type="character" w:styleId="ad">
    <w:name w:val="page number"/>
    <w:basedOn w:val="a1"/>
  </w:style>
  <w:style w:type="character" w:styleId="ae">
    <w:name w:val="FollowedHyperlink"/>
    <w:basedOn w:val="a1"/>
    <w:uiPriority w:val="99"/>
    <w:unhideWhenUsed/>
    <w:rPr>
      <w:color w:val="800080" w:themeColor="followedHyperlink"/>
      <w:u w:val="single"/>
    </w:rPr>
  </w:style>
  <w:style w:type="character" w:styleId="af">
    <w:name w:val="Hyperlink"/>
    <w:rPr>
      <w:color w:val="0000FF"/>
      <w:u w:val="single"/>
    </w:rPr>
  </w:style>
  <w:style w:type="character" w:styleId="af0">
    <w:name w:val="annotation reference"/>
    <w:qFormat/>
    <w:rPr>
      <w:sz w:val="21"/>
      <w:szCs w:val="21"/>
    </w:rPr>
  </w:style>
  <w:style w:type="character" w:customStyle="1" w:styleId="2Char">
    <w:name w:val="标题 2 Char"/>
    <w:basedOn w:val="a1"/>
    <w:link w:val="2"/>
    <w:rPr>
      <w:rFonts w:ascii="Arial" w:eastAsia="SimHei" w:hAnsi="Arial" w:cs="Times New Roman"/>
      <w:b/>
      <w:sz w:val="32"/>
      <w:szCs w:val="20"/>
    </w:rPr>
  </w:style>
  <w:style w:type="character" w:customStyle="1" w:styleId="Char5">
    <w:name w:val="页眉 Char"/>
    <w:basedOn w:val="a1"/>
    <w:link w:val="aa"/>
    <w:rPr>
      <w:rFonts w:ascii="Times New Roman" w:eastAsia="SimSun" w:hAnsi="Times New Roman" w:cs="Times New Roman"/>
      <w:sz w:val="18"/>
      <w:szCs w:val="18"/>
    </w:rPr>
  </w:style>
  <w:style w:type="character" w:customStyle="1" w:styleId="Char4">
    <w:name w:val="页脚 Char"/>
    <w:basedOn w:val="a1"/>
    <w:link w:val="a9"/>
    <w:rPr>
      <w:rFonts w:ascii="Times New Roman" w:eastAsia="SimSun" w:hAnsi="Times New Roman" w:cs="Times New Roman"/>
      <w:sz w:val="18"/>
      <w:szCs w:val="18"/>
    </w:rPr>
  </w:style>
  <w:style w:type="paragraph" w:customStyle="1" w:styleId="wz1">
    <w:name w:val="wz1"/>
    <w:basedOn w:val="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1">
    <w:name w:val="正文文本 Char"/>
    <w:basedOn w:val="a1"/>
    <w:link w:val="a6"/>
    <w:rPr>
      <w:rFonts w:ascii="FangSong_GB2312" w:eastAsia="FangSong_GB2312" w:hAnsi="Times New Roman" w:cs="Times New Roman"/>
      <w:color w:val="000000"/>
      <w:kern w:val="0"/>
      <w:sz w:val="24"/>
      <w:szCs w:val="28"/>
    </w:rPr>
  </w:style>
  <w:style w:type="character" w:customStyle="1" w:styleId="read">
    <w:name w:val="read"/>
    <w:basedOn w:val="a1"/>
  </w:style>
  <w:style w:type="character" w:customStyle="1" w:styleId="Char2">
    <w:name w:val="正文文本缩进 Char"/>
    <w:basedOn w:val="a1"/>
    <w:link w:val="a7"/>
    <w:rPr>
      <w:rFonts w:ascii="Times New Roman" w:eastAsia="方正仿宋简体" w:hAnsi="Times New Roman" w:cs="Times New Roman"/>
      <w:sz w:val="24"/>
      <w:szCs w:val="30"/>
    </w:rPr>
  </w:style>
  <w:style w:type="character" w:customStyle="1" w:styleId="2Char0">
    <w:name w:val="正文文本缩进 2 Char"/>
    <w:basedOn w:val="a1"/>
    <w:link w:val="20"/>
    <w:rPr>
      <w:rFonts w:ascii="SimSun" w:eastAsia="SimSun" w:hAnsi="SimSun" w:cs="Times New Roman"/>
      <w:sz w:val="28"/>
      <w:szCs w:val="20"/>
    </w:rPr>
  </w:style>
  <w:style w:type="character" w:customStyle="1" w:styleId="3Char">
    <w:name w:val="正文文本缩进 3 Char"/>
    <w:basedOn w:val="a1"/>
    <w:link w:val="30"/>
    <w:rPr>
      <w:rFonts w:ascii="FangSong_GB2312" w:eastAsia="FangSong_GB2312" w:hAnsi="SimSun" w:cs="Arial"/>
      <w:color w:val="000000"/>
      <w:sz w:val="24"/>
      <w:szCs w:val="24"/>
    </w:rPr>
  </w:style>
  <w:style w:type="character" w:customStyle="1" w:styleId="Char3">
    <w:name w:val="批注框文本 Char"/>
    <w:basedOn w:val="a1"/>
    <w:link w:val="a8"/>
    <w:semiHidden/>
    <w:rPr>
      <w:rFonts w:ascii="Times New Roman" w:eastAsia="SimSun" w:hAnsi="Times New Roman" w:cs="Times New Roman"/>
      <w:sz w:val="18"/>
      <w:szCs w:val="18"/>
    </w:rPr>
  </w:style>
  <w:style w:type="paragraph" w:customStyle="1" w:styleId="Char6">
    <w:name w:val="Char"/>
    <w:basedOn w:val="a"/>
  </w:style>
  <w:style w:type="paragraph" w:customStyle="1" w:styleId="Char10">
    <w:name w:val="Char1"/>
    <w:basedOn w:val="a"/>
    <w:pPr>
      <w:tabs>
        <w:tab w:val="left" w:pos="832"/>
      </w:tabs>
      <w:ind w:left="832" w:hanging="420"/>
      <w:jc w:val="center"/>
    </w:pPr>
    <w:rPr>
      <w:rFonts w:ascii="KaiTi_GB2312" w:eastAsia="KaiTi_GB2312"/>
      <w:b/>
      <w:color w:val="000080"/>
      <w:sz w:val="30"/>
      <w:szCs w:val="30"/>
    </w:rPr>
  </w:style>
  <w:style w:type="paragraph" w:customStyle="1" w:styleId="CharCharChar">
    <w:name w:val="Char Char Char"/>
    <w:basedOn w:val="a"/>
  </w:style>
  <w:style w:type="character" w:customStyle="1" w:styleId="Char0">
    <w:name w:val="批注文字 Char"/>
    <w:basedOn w:val="a1"/>
    <w:link w:val="a5"/>
    <w:qFormat/>
    <w:rPr>
      <w:rFonts w:ascii="Times New Roman" w:eastAsia="SimSun" w:hAnsi="Times New Roman" w:cs="Times New Roman"/>
      <w:szCs w:val="24"/>
    </w:rPr>
  </w:style>
  <w:style w:type="paragraph" w:customStyle="1" w:styleId="CharCharCharCharCharCharChar1CharCharCharCharCharChar">
    <w:name w:val="Char Char Char Char Char Char Char1 Char Char Char Char Char Char"/>
    <w:basedOn w:val="a"/>
  </w:style>
  <w:style w:type="paragraph" w:customStyle="1" w:styleId="CharChar">
    <w:name w:val="Char Char"/>
    <w:basedOn w:val="a"/>
    <w:rPr>
      <w:szCs w:val="20"/>
    </w:rPr>
  </w:style>
  <w:style w:type="character" w:customStyle="1" w:styleId="HTMLChar">
    <w:name w:val="HTML 预设格式 Char"/>
    <w:basedOn w:val="a1"/>
    <w:link w:val="HTML"/>
    <w:uiPriority w:val="99"/>
    <w:rPr>
      <w:rFonts w:ascii="SimSun" w:eastAsia="SimSun" w:hAnsi="SimSun" w:cs="SimSun"/>
      <w:kern w:val="0"/>
      <w:sz w:val="24"/>
      <w:szCs w:val="24"/>
    </w:rPr>
  </w:style>
  <w:style w:type="character" w:customStyle="1" w:styleId="Char">
    <w:name w:val="批注主题 Char"/>
    <w:basedOn w:val="Char0"/>
    <w:link w:val="a4"/>
    <w:rPr>
      <w:rFonts w:ascii="Times New Roman" w:eastAsia="SimSun" w:hAnsi="Times New Roman" w:cs="Times New Roman"/>
      <w:b/>
      <w:bCs/>
      <w:szCs w:val="24"/>
    </w:rPr>
  </w:style>
  <w:style w:type="paragraph" w:customStyle="1" w:styleId="Style47">
    <w:name w:val="_Style 47"/>
    <w:uiPriority w:val="99"/>
    <w:unhideWhenUsed/>
    <w:pPr>
      <w:widowControl w:val="0"/>
      <w:jc w:val="both"/>
    </w:pPr>
    <w:rPr>
      <w:rFonts w:ascii="Times New Roman" w:eastAsia="SimSun" w:hAnsi="Times New Roman" w:cs="Times New Roman"/>
      <w:kern w:val="2"/>
      <w:sz w:val="21"/>
      <w:szCs w:val="24"/>
    </w:rPr>
  </w:style>
  <w:style w:type="paragraph" w:customStyle="1" w:styleId="10">
    <w:name w:val="修订1"/>
    <w:hidden/>
    <w:uiPriority w:val="99"/>
    <w:semiHidden/>
    <w:rPr>
      <w:rFonts w:ascii="Times New Roman" w:eastAsia="SimSun" w:hAnsi="Times New Roman" w:cs="Times New Roman"/>
      <w:kern w:val="2"/>
      <w:sz w:val="21"/>
      <w:szCs w:val="24"/>
    </w:rPr>
  </w:style>
  <w:style w:type="paragraph" w:customStyle="1" w:styleId="11">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1E919-0AE3-4432-9FFD-14C6BAA2C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42</Pages>
  <Words>5071</Words>
  <Characters>28905</Characters>
  <Application>Microsoft Office Word</Application>
  <DocSecurity>0</DocSecurity>
  <Lines>240</Lines>
  <Paragraphs>67</Paragraphs>
  <ScaleCrop>false</ScaleCrop>
  <Company>Microsoft</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刘翠碧</dc:creator>
  <cp:lastModifiedBy>张蕊0204</cp:lastModifiedBy>
  <cp:revision>4</cp:revision>
  <cp:lastPrinted>2020-02-17T03:14:00Z</cp:lastPrinted>
  <dcterms:created xsi:type="dcterms:W3CDTF">2020-02-12T02:15:00Z</dcterms:created>
  <dcterms:modified xsi:type="dcterms:W3CDTF">2020-02-17T04:15:00Z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