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82" w:rsidRPr="00091B90" w:rsidRDefault="006E7E82" w:rsidP="00091B90">
      <w:pPr>
        <w:adjustRightInd w:val="0"/>
        <w:snapToGrid w:val="0"/>
        <w:spacing w:line="360" w:lineRule="auto"/>
        <w:jc w:val="center"/>
        <w:rPr>
          <w:rFonts w:asciiTheme="minorEastAsia" w:eastAsiaTheme="minorEastAsia" w:hAnsiTheme="minorEastAsia" w:cs="Arial"/>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szCs w:val="21"/>
        </w:rPr>
      </w:pPr>
    </w:p>
    <w:p w:rsidR="00B849D9" w:rsidRDefault="00B849D9" w:rsidP="00091B90">
      <w:pPr>
        <w:pStyle w:val="af3"/>
        <w:adjustRightInd/>
        <w:spacing w:beforeLines="50" w:before="156" w:afterLines="50" w:after="156" w:line="360" w:lineRule="auto"/>
        <w:jc w:val="center"/>
        <w:textAlignment w:val="auto"/>
        <w:rPr>
          <w:rFonts w:ascii="Times New Roman" w:eastAsia="华文行楷" w:hAnsi="Times New Roman"/>
          <w:spacing w:val="-20"/>
          <w:kern w:val="0"/>
          <w:sz w:val="52"/>
          <w:szCs w:val="52"/>
        </w:rPr>
      </w:pPr>
      <w:bookmarkStart w:id="0" w:name="_GoBack"/>
      <w:r>
        <w:rPr>
          <w:rFonts w:ascii="Times New Roman" w:eastAsia="华文行楷" w:hAnsi="Times New Roman" w:hint="eastAsia"/>
          <w:spacing w:val="-20"/>
          <w:kern w:val="0"/>
          <w:sz w:val="52"/>
          <w:szCs w:val="52"/>
        </w:rPr>
        <w:t>鹏华兴泰定期开放灵活配置混合型</w:t>
      </w:r>
      <w:bookmarkEnd w:id="0"/>
    </w:p>
    <w:p w:rsidR="006E7E82" w:rsidRPr="00091B90" w:rsidRDefault="006E7E82" w:rsidP="00091B90">
      <w:pPr>
        <w:pStyle w:val="af3"/>
        <w:adjustRightInd/>
        <w:spacing w:beforeLines="50" w:before="156" w:afterLines="50" w:after="156" w:line="360" w:lineRule="auto"/>
        <w:jc w:val="center"/>
        <w:textAlignment w:val="auto"/>
        <w:rPr>
          <w:rFonts w:ascii="Times New Roman" w:eastAsia="华文行楷" w:hAnsi="Times New Roman"/>
          <w:spacing w:val="-20"/>
          <w:kern w:val="0"/>
          <w:sz w:val="52"/>
          <w:szCs w:val="52"/>
        </w:rPr>
      </w:pPr>
      <w:r w:rsidRPr="00091B90">
        <w:rPr>
          <w:rFonts w:ascii="Times New Roman" w:eastAsia="华文行楷" w:hAnsi="Times New Roman" w:hint="eastAsia"/>
          <w:spacing w:val="-20"/>
          <w:kern w:val="0"/>
          <w:sz w:val="52"/>
          <w:szCs w:val="52"/>
        </w:rPr>
        <w:t>证券投资基金</w:t>
      </w:r>
    </w:p>
    <w:p w:rsidR="00054A73" w:rsidRDefault="006E7E82" w:rsidP="00091B90">
      <w:pPr>
        <w:pStyle w:val="af3"/>
        <w:adjustRightInd/>
        <w:spacing w:beforeLines="50" w:before="156" w:afterLines="50" w:after="156" w:line="360" w:lineRule="auto"/>
        <w:jc w:val="center"/>
        <w:textAlignment w:val="auto"/>
        <w:rPr>
          <w:rFonts w:ascii="Times New Roman" w:eastAsia="华文行楷" w:hAnsi="Times New Roman"/>
          <w:spacing w:val="-20"/>
          <w:kern w:val="0"/>
          <w:sz w:val="52"/>
          <w:szCs w:val="52"/>
        </w:rPr>
      </w:pPr>
      <w:r w:rsidRPr="00091B90">
        <w:rPr>
          <w:rFonts w:ascii="Times New Roman" w:eastAsia="华文行楷" w:hAnsi="Times New Roman" w:hint="eastAsia"/>
          <w:spacing w:val="-20"/>
          <w:kern w:val="0"/>
          <w:sz w:val="52"/>
          <w:szCs w:val="52"/>
        </w:rPr>
        <w:t>托管协议</w:t>
      </w:r>
    </w:p>
    <w:p w:rsidR="006E7E82" w:rsidRDefault="006E7E82" w:rsidP="00054A73">
      <w:pPr>
        <w:rPr>
          <w:rFonts w:asciiTheme="minorEastAsia" w:eastAsiaTheme="minorEastAsia" w:hAnsiTheme="minorEastAsia" w:cs="Arial"/>
          <w:szCs w:val="21"/>
        </w:rPr>
      </w:pPr>
    </w:p>
    <w:p w:rsidR="00F82B58" w:rsidRDefault="00F82B58" w:rsidP="00054A73">
      <w:pPr>
        <w:rPr>
          <w:rFonts w:asciiTheme="minorEastAsia" w:eastAsiaTheme="minorEastAsia" w:hAnsiTheme="minorEastAsia" w:cs="Arial"/>
          <w:szCs w:val="21"/>
        </w:rPr>
      </w:pPr>
    </w:p>
    <w:p w:rsidR="00F82B58" w:rsidRPr="00F82B58" w:rsidRDefault="00F82B58" w:rsidP="00054A73">
      <w:pPr>
        <w:rPr>
          <w:rFonts w:asciiTheme="minorEastAsia" w:eastAsiaTheme="minorEastAsia" w:hAnsiTheme="minorEastAsia" w:cs="Arial"/>
          <w:szCs w:val="21"/>
        </w:rPr>
      </w:pPr>
    </w:p>
    <w:p w:rsidR="006E7E82" w:rsidRPr="00091B90" w:rsidRDefault="006E7E82" w:rsidP="00054A73">
      <w:pPr>
        <w:rPr>
          <w:rFonts w:asciiTheme="minorEastAsia" w:eastAsiaTheme="minorEastAsia" w:hAnsiTheme="minorEastAsia" w:cs="Arial"/>
          <w:szCs w:val="21"/>
        </w:rPr>
      </w:pPr>
    </w:p>
    <w:p w:rsidR="006E7E82" w:rsidRPr="00091B90" w:rsidRDefault="006E7E82" w:rsidP="00054A73">
      <w:pPr>
        <w:rPr>
          <w:rFonts w:asciiTheme="minorEastAsia" w:eastAsiaTheme="minorEastAsia" w:hAnsiTheme="minorEastAsia" w:cs="Arial"/>
          <w:szCs w:val="21"/>
        </w:rPr>
      </w:pPr>
    </w:p>
    <w:p w:rsidR="006E7E82" w:rsidRPr="00091B90" w:rsidRDefault="006E7E82" w:rsidP="00054A73">
      <w:pPr>
        <w:rPr>
          <w:rFonts w:asciiTheme="minorEastAsia" w:eastAsiaTheme="minorEastAsia" w:hAnsiTheme="minorEastAsia" w:cs="Arial"/>
          <w:szCs w:val="21"/>
        </w:rPr>
      </w:pPr>
    </w:p>
    <w:p w:rsidR="006E7E82" w:rsidRPr="00091B90" w:rsidRDefault="006E7E82" w:rsidP="00054A73">
      <w:pPr>
        <w:rPr>
          <w:rFonts w:asciiTheme="minorEastAsia" w:eastAsiaTheme="minorEastAsia" w:hAnsiTheme="minorEastAsia" w:cs="Arial"/>
          <w:szCs w:val="21"/>
        </w:rPr>
      </w:pPr>
    </w:p>
    <w:p w:rsidR="006E7E82" w:rsidRPr="00091B90" w:rsidRDefault="006E7E82" w:rsidP="00054A73">
      <w:pPr>
        <w:rPr>
          <w:rFonts w:asciiTheme="minorEastAsia" w:eastAsiaTheme="minorEastAsia" w:hAnsiTheme="minorEastAsia" w:cs="Arial"/>
          <w:szCs w:val="21"/>
        </w:rPr>
      </w:pPr>
    </w:p>
    <w:p w:rsidR="006E7E82" w:rsidRPr="00091B90" w:rsidRDefault="006E7E82" w:rsidP="00054A73">
      <w:pPr>
        <w:pStyle w:val="af3"/>
        <w:adjustRightInd/>
        <w:spacing w:line="360" w:lineRule="auto"/>
        <w:ind w:firstLineChars="400" w:firstLine="1440"/>
        <w:textAlignment w:val="auto"/>
        <w:rPr>
          <w:rFonts w:ascii="Times New Roman" w:eastAsia="华文行楷" w:hAnsi="Times New Roman"/>
          <w:bCs/>
          <w:sz w:val="36"/>
          <w:szCs w:val="36"/>
        </w:rPr>
      </w:pPr>
      <w:r w:rsidRPr="00091B90">
        <w:rPr>
          <w:rFonts w:ascii="Times New Roman" w:eastAsia="华文行楷" w:hAnsi="Times New Roman" w:hint="eastAsia"/>
          <w:bCs/>
          <w:sz w:val="36"/>
          <w:szCs w:val="36"/>
        </w:rPr>
        <w:t>基金管理人：</w:t>
      </w:r>
      <w:r w:rsidR="00F9268D">
        <w:rPr>
          <w:rFonts w:ascii="Times New Roman" w:eastAsia="华文行楷" w:hAnsi="Times New Roman" w:hint="eastAsia"/>
          <w:bCs/>
          <w:sz w:val="36"/>
          <w:szCs w:val="36"/>
        </w:rPr>
        <w:t>鹏华</w:t>
      </w:r>
      <w:r w:rsidRPr="00091B90">
        <w:rPr>
          <w:rFonts w:ascii="Times New Roman" w:eastAsia="华文行楷" w:hAnsi="Times New Roman" w:hint="eastAsia"/>
          <w:bCs/>
          <w:sz w:val="36"/>
          <w:szCs w:val="36"/>
        </w:rPr>
        <w:t>基金管理有限公司</w:t>
      </w:r>
    </w:p>
    <w:p w:rsidR="006E7E82" w:rsidRPr="00091B90" w:rsidRDefault="00054A73" w:rsidP="00091B90">
      <w:pPr>
        <w:pStyle w:val="af3"/>
        <w:adjustRightInd/>
        <w:spacing w:line="360" w:lineRule="auto"/>
        <w:jc w:val="center"/>
        <w:textAlignment w:val="auto"/>
        <w:rPr>
          <w:rFonts w:ascii="Times New Roman" w:eastAsia="华文行楷" w:hAnsi="Times New Roman"/>
          <w:bCs/>
          <w:sz w:val="36"/>
          <w:szCs w:val="36"/>
        </w:rPr>
      </w:pPr>
      <w:r>
        <w:rPr>
          <w:rFonts w:ascii="Times New Roman" w:eastAsia="华文行楷" w:hAnsi="Times New Roman" w:hint="eastAsia"/>
          <w:bCs/>
          <w:sz w:val="36"/>
          <w:szCs w:val="36"/>
        </w:rPr>
        <w:t xml:space="preserve">     </w:t>
      </w:r>
      <w:r w:rsidR="006E7E82" w:rsidRPr="00091B90">
        <w:rPr>
          <w:rFonts w:ascii="Times New Roman" w:eastAsia="华文行楷" w:hAnsi="Times New Roman" w:hint="eastAsia"/>
          <w:bCs/>
          <w:sz w:val="36"/>
          <w:szCs w:val="36"/>
        </w:rPr>
        <w:t>基金托管人：中国建设银行股份有限公司</w:t>
      </w:r>
    </w:p>
    <w:p w:rsidR="006E7E82" w:rsidRPr="00054A73" w:rsidRDefault="006E7E82" w:rsidP="00054A73">
      <w:pPr>
        <w:rPr>
          <w:rFonts w:asciiTheme="minorEastAsia" w:eastAsiaTheme="minorEastAsia" w:hAnsiTheme="minorEastAsia" w:cs="Arial"/>
          <w:szCs w:val="21"/>
        </w:rPr>
      </w:pPr>
    </w:p>
    <w:p w:rsidR="00B849D9" w:rsidRDefault="00B849D9" w:rsidP="00054A73">
      <w:pPr>
        <w:rPr>
          <w:rFonts w:eastAsia="华文行楷"/>
          <w:bCs/>
          <w:sz w:val="36"/>
          <w:szCs w:val="36"/>
        </w:rPr>
      </w:pPr>
    </w:p>
    <w:p w:rsidR="00B849D9" w:rsidRPr="00091B90" w:rsidRDefault="00B849D9" w:rsidP="00054A73">
      <w:pPr>
        <w:rPr>
          <w:rFonts w:asciiTheme="minorEastAsia" w:eastAsiaTheme="minorEastAsia" w:hAnsiTheme="minorEastAsia" w:cs="Arial"/>
          <w:szCs w:val="21"/>
        </w:rPr>
      </w:pPr>
    </w:p>
    <w:p w:rsidR="006E7E82" w:rsidRPr="00091B90" w:rsidRDefault="00B849D9" w:rsidP="00B849D9">
      <w:pPr>
        <w:pStyle w:val="af3"/>
        <w:adjustRightInd/>
        <w:spacing w:line="360" w:lineRule="auto"/>
        <w:textAlignment w:val="auto"/>
        <w:rPr>
          <w:rFonts w:ascii="Times New Roman" w:eastAsia="华文行楷" w:hAnsi="Times New Roman"/>
          <w:bCs/>
          <w:sz w:val="36"/>
          <w:szCs w:val="36"/>
        </w:rPr>
      </w:pPr>
      <w:r>
        <w:rPr>
          <w:rFonts w:asciiTheme="minorEastAsia" w:eastAsiaTheme="minorEastAsia" w:hAnsiTheme="minorEastAsia" w:cs="Arial" w:hint="eastAsia"/>
          <w:szCs w:val="21"/>
        </w:rPr>
        <w:t xml:space="preserve">                             </w:t>
      </w:r>
      <w:r w:rsidR="006E7E82" w:rsidRPr="00091B90">
        <w:rPr>
          <w:rFonts w:ascii="Times New Roman" w:eastAsia="华文行楷" w:hAnsi="Times New Roman" w:hint="eastAsia"/>
          <w:bCs/>
          <w:sz w:val="36"/>
          <w:szCs w:val="36"/>
        </w:rPr>
        <w:t>二零一</w:t>
      </w:r>
      <w:r>
        <w:rPr>
          <w:rFonts w:ascii="Times New Roman" w:eastAsia="华文行楷" w:hAnsi="Times New Roman" w:hint="eastAsia"/>
          <w:bCs/>
          <w:sz w:val="36"/>
          <w:szCs w:val="36"/>
        </w:rPr>
        <w:t>六</w:t>
      </w:r>
      <w:r w:rsidR="006E7E82" w:rsidRPr="00091B90">
        <w:rPr>
          <w:rFonts w:ascii="Times New Roman" w:eastAsia="华文行楷" w:hAnsi="Times New Roman" w:hint="eastAsia"/>
          <w:bCs/>
          <w:sz w:val="36"/>
          <w:szCs w:val="36"/>
        </w:rPr>
        <w:t>年</w:t>
      </w:r>
      <w:r w:rsidR="00F82B58">
        <w:rPr>
          <w:rFonts w:ascii="Times New Roman" w:eastAsia="华文行楷" w:hAnsi="Times New Roman" w:hint="eastAsia"/>
          <w:bCs/>
          <w:sz w:val="36"/>
          <w:szCs w:val="36"/>
        </w:rPr>
        <w:t>十一</w:t>
      </w:r>
      <w:r w:rsidR="006E7E82" w:rsidRPr="00091B90">
        <w:rPr>
          <w:rFonts w:ascii="Times New Roman" w:eastAsia="华文行楷" w:hAnsi="Times New Roman" w:hint="eastAsia"/>
          <w:bCs/>
          <w:sz w:val="36"/>
          <w:szCs w:val="36"/>
        </w:rPr>
        <w:t>月</w:t>
      </w:r>
    </w:p>
    <w:p w:rsidR="006E7E82" w:rsidRPr="00091B90" w:rsidRDefault="006E7E82" w:rsidP="00054A73">
      <w:pPr>
        <w:rPr>
          <w:rFonts w:asciiTheme="minorEastAsia" w:eastAsiaTheme="minorEastAsia" w:hAnsiTheme="minorEastAsia" w:cs="Arial"/>
          <w:szCs w:val="21"/>
        </w:rPr>
      </w:pPr>
    </w:p>
    <w:p w:rsidR="006E7E82" w:rsidRPr="00091B90" w:rsidRDefault="006E7E82" w:rsidP="00054A73">
      <w:pPr>
        <w:rPr>
          <w:rFonts w:asciiTheme="minorEastAsia" w:eastAsiaTheme="minorEastAsia" w:hAnsiTheme="minorEastAsia" w:cs="Arial"/>
          <w:bCs/>
          <w:szCs w:val="21"/>
        </w:rPr>
      </w:pPr>
    </w:p>
    <w:p w:rsidR="006E7E82" w:rsidRPr="00091B90" w:rsidRDefault="006E7E82" w:rsidP="00054A73">
      <w:pPr>
        <w:rPr>
          <w:rFonts w:asciiTheme="minorEastAsia" w:eastAsiaTheme="minorEastAsia" w:hAnsiTheme="minorEastAsia" w:cs="Arial"/>
          <w:bCs/>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bCs/>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bCs/>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bCs/>
          <w:szCs w:val="21"/>
        </w:rPr>
      </w:pPr>
    </w:p>
    <w:p w:rsidR="006E7E82" w:rsidRPr="00091B90" w:rsidRDefault="006E7E82" w:rsidP="00091B90">
      <w:pPr>
        <w:adjustRightInd w:val="0"/>
        <w:snapToGrid w:val="0"/>
        <w:spacing w:line="360" w:lineRule="auto"/>
        <w:jc w:val="center"/>
        <w:rPr>
          <w:rFonts w:asciiTheme="minorEastAsia" w:eastAsiaTheme="minorEastAsia" w:hAnsiTheme="minorEastAsia" w:cs="Arial"/>
          <w:bCs/>
          <w:szCs w:val="21"/>
        </w:rPr>
        <w:sectPr w:rsidR="006E7E82" w:rsidRPr="00091B90">
          <w:headerReference w:type="default" r:id="rId8"/>
          <w:footerReference w:type="even" r:id="rId9"/>
          <w:pgSz w:w="11906" w:h="16838" w:code="9"/>
          <w:pgMar w:top="1418" w:right="1701" w:bottom="1418" w:left="1701" w:header="851" w:footer="992" w:gutter="0"/>
          <w:cols w:space="425"/>
          <w:docGrid w:type="lines" w:linePitch="312"/>
        </w:sectPr>
      </w:pPr>
    </w:p>
    <w:p w:rsidR="006E7E82" w:rsidRPr="00091B90" w:rsidRDefault="006E7E82" w:rsidP="00091B90">
      <w:pPr>
        <w:adjustRightInd w:val="0"/>
        <w:snapToGrid w:val="0"/>
        <w:spacing w:line="360" w:lineRule="auto"/>
        <w:rPr>
          <w:rFonts w:asciiTheme="minorEastAsia" w:eastAsiaTheme="minorEastAsia" w:hAnsiTheme="minorEastAsia" w:cs="Arial"/>
          <w:bCs/>
          <w:szCs w:val="21"/>
        </w:rPr>
      </w:pPr>
    </w:p>
    <w:p w:rsidR="00054A73" w:rsidRDefault="00054A73" w:rsidP="00091B90">
      <w:pPr>
        <w:pStyle w:val="TOC"/>
        <w:jc w:val="center"/>
        <w:rPr>
          <w:rFonts w:ascii="Times New Roman" w:hAnsi="Times New Roman"/>
          <w:color w:val="000000"/>
          <w:lang w:val="zh-CN"/>
        </w:rPr>
        <w:sectPr w:rsidR="00054A73">
          <w:headerReference w:type="default" r:id="rId10"/>
          <w:pgSz w:w="11906" w:h="16838" w:code="9"/>
          <w:pgMar w:top="1418" w:right="1701" w:bottom="1418" w:left="1701" w:header="851" w:footer="992" w:gutter="0"/>
          <w:cols w:space="425"/>
          <w:docGrid w:type="lines" w:linePitch="312"/>
        </w:sectPr>
      </w:pPr>
    </w:p>
    <w:p w:rsidR="006E7E82" w:rsidRPr="00091B90" w:rsidRDefault="006E7E82" w:rsidP="00091B90">
      <w:pPr>
        <w:pStyle w:val="TOC"/>
        <w:jc w:val="center"/>
        <w:rPr>
          <w:rFonts w:ascii="Times New Roman" w:hAnsi="Times New Roman"/>
          <w:color w:val="000000"/>
          <w:lang w:val="zh-CN"/>
        </w:rPr>
      </w:pPr>
      <w:r w:rsidRPr="00091B90">
        <w:rPr>
          <w:rFonts w:ascii="Times New Roman" w:hAnsi="Times New Roman" w:hint="eastAsia"/>
          <w:color w:val="000000"/>
          <w:lang w:val="zh-CN"/>
        </w:rPr>
        <w:lastRenderedPageBreak/>
        <w:t>目</w:t>
      </w:r>
      <w:r w:rsidRPr="00091B90">
        <w:rPr>
          <w:rFonts w:ascii="Times New Roman" w:hAnsi="Times New Roman" w:hint="eastAsia"/>
          <w:color w:val="000000"/>
          <w:lang w:val="zh-CN"/>
        </w:rPr>
        <w:t xml:space="preserve">    </w:t>
      </w:r>
      <w:r w:rsidRPr="00091B90">
        <w:rPr>
          <w:rFonts w:ascii="Times New Roman" w:hAnsi="Times New Roman" w:hint="eastAsia"/>
          <w:color w:val="000000"/>
          <w:lang w:val="zh-CN"/>
        </w:rPr>
        <w:t>录</w:t>
      </w:r>
    </w:p>
    <w:p w:rsidR="006E7E82" w:rsidRPr="00091B90" w:rsidRDefault="006E7E82" w:rsidP="00091B90">
      <w:pPr>
        <w:pStyle w:val="21"/>
        <w:tabs>
          <w:tab w:val="right" w:leader="dot" w:pos="8494"/>
        </w:tabs>
        <w:spacing w:line="360" w:lineRule="auto"/>
        <w:rPr>
          <w:rFonts w:asciiTheme="minorEastAsia" w:eastAsiaTheme="minorEastAsia" w:hAnsiTheme="minorEastAsia"/>
          <w:noProof/>
          <w:szCs w:val="21"/>
        </w:rPr>
      </w:pPr>
      <w:r w:rsidRPr="00091B90">
        <w:rPr>
          <w:rFonts w:asciiTheme="minorEastAsia" w:eastAsiaTheme="minorEastAsia" w:hAnsiTheme="minorEastAsia" w:hint="eastAsia"/>
          <w:szCs w:val="21"/>
        </w:rPr>
        <w:fldChar w:fldCharType="begin"/>
      </w:r>
      <w:r w:rsidRPr="00091B90">
        <w:rPr>
          <w:rFonts w:asciiTheme="minorEastAsia" w:eastAsiaTheme="minorEastAsia" w:hAnsiTheme="minorEastAsia" w:hint="eastAsia"/>
          <w:szCs w:val="21"/>
        </w:rPr>
        <w:instrText xml:space="preserve"> TOC \o "1-2" \h \z </w:instrText>
      </w:r>
      <w:r w:rsidRPr="00091B90">
        <w:rPr>
          <w:rFonts w:asciiTheme="minorEastAsia" w:eastAsiaTheme="minorEastAsia" w:hAnsiTheme="minorEastAsia" w:hint="eastAsia"/>
          <w:szCs w:val="21"/>
        </w:rPr>
        <w:fldChar w:fldCharType="separate"/>
      </w:r>
      <w:hyperlink w:anchor="_Toc124325885" w:history="1">
        <w:r w:rsidRPr="00091B90">
          <w:rPr>
            <w:rStyle w:val="a9"/>
            <w:rFonts w:asciiTheme="minorEastAsia" w:eastAsiaTheme="minorEastAsia" w:hAnsiTheme="minorEastAsia" w:hint="eastAsia"/>
            <w:noProof/>
            <w:szCs w:val="21"/>
          </w:rPr>
          <w:t>一、基金托管协议当事人</w:t>
        </w:r>
        <w:r w:rsidRPr="00091B90">
          <w:rPr>
            <w:rFonts w:asciiTheme="minorEastAsia" w:eastAsiaTheme="minorEastAsia" w:hAnsiTheme="minorEastAsia" w:hint="eastAsia"/>
            <w:noProof/>
            <w:webHidden/>
            <w:szCs w:val="21"/>
          </w:rPr>
          <w:tab/>
        </w:r>
        <w:r w:rsidRPr="00091B90">
          <w:rPr>
            <w:rFonts w:asciiTheme="minorEastAsia" w:eastAsiaTheme="minorEastAsia" w:hAnsiTheme="minorEastAsia" w:hint="eastAsia"/>
            <w:noProof/>
            <w:webHidden/>
            <w:szCs w:val="21"/>
          </w:rPr>
          <w:fldChar w:fldCharType="begin"/>
        </w:r>
        <w:r w:rsidRPr="00091B90">
          <w:rPr>
            <w:rFonts w:asciiTheme="minorEastAsia" w:eastAsiaTheme="minorEastAsia" w:hAnsiTheme="minorEastAsia" w:hint="eastAsia"/>
            <w:noProof/>
            <w:webHidden/>
            <w:szCs w:val="21"/>
          </w:rPr>
          <w:instrText xml:space="preserve"> PAGEREF _Toc124325885 \h </w:instrText>
        </w:r>
        <w:r w:rsidRPr="00091B90">
          <w:rPr>
            <w:rFonts w:asciiTheme="minorEastAsia" w:eastAsiaTheme="minorEastAsia" w:hAnsiTheme="minorEastAsia" w:hint="eastAsia"/>
            <w:noProof/>
            <w:webHidden/>
            <w:szCs w:val="21"/>
          </w:rPr>
        </w:r>
        <w:r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w:t>
        </w:r>
        <w:r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86" w:history="1">
        <w:r w:rsidR="006E7E82" w:rsidRPr="00091B90">
          <w:rPr>
            <w:rStyle w:val="a9"/>
            <w:rFonts w:asciiTheme="minorEastAsia" w:eastAsiaTheme="minorEastAsia" w:hAnsiTheme="minorEastAsia" w:hint="eastAsia"/>
            <w:noProof/>
            <w:szCs w:val="21"/>
          </w:rPr>
          <w:t>二、基金托管协议的依据、目的和原则</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_Toc124325886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5</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87" w:history="1">
        <w:r w:rsidR="006E7E82" w:rsidRPr="00091B90">
          <w:rPr>
            <w:rStyle w:val="a9"/>
            <w:rFonts w:asciiTheme="minorEastAsia" w:eastAsiaTheme="minorEastAsia" w:hAnsiTheme="minorEastAsia" w:hint="eastAsia"/>
            <w:noProof/>
            <w:szCs w:val="21"/>
          </w:rPr>
          <w:t>三、基金托管人对基金管理人的业务监督和核查</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_Toc124325887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6</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88" w:history="1">
        <w:r w:rsidR="006E7E82" w:rsidRPr="00091B90">
          <w:rPr>
            <w:rStyle w:val="a9"/>
            <w:rFonts w:asciiTheme="minorEastAsia" w:eastAsiaTheme="minorEastAsia" w:hAnsiTheme="minorEastAsia" w:hint="eastAsia"/>
            <w:noProof/>
            <w:szCs w:val="21"/>
          </w:rPr>
          <w:t>四、基金管理人对基金托管人的业务核查</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_Toc124325888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12</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89" w:history="1">
        <w:r w:rsidR="006E7E82" w:rsidRPr="00091B90">
          <w:rPr>
            <w:rStyle w:val="a9"/>
            <w:rFonts w:asciiTheme="minorEastAsia" w:eastAsiaTheme="minorEastAsia" w:hAnsiTheme="minorEastAsia" w:hint="eastAsia"/>
            <w:noProof/>
            <w:szCs w:val="21"/>
          </w:rPr>
          <w:t>五、基金财产的保管</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_Toc124325889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13</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0" w:history="1">
        <w:r w:rsidR="006E7E82" w:rsidRPr="00091B90">
          <w:rPr>
            <w:rStyle w:val="a9"/>
            <w:rFonts w:asciiTheme="minorEastAsia" w:eastAsiaTheme="minorEastAsia" w:hAnsiTheme="minorEastAsia" w:hint="eastAsia"/>
            <w:noProof/>
            <w:szCs w:val="21"/>
          </w:rPr>
          <w:t>六、指令的发送、确认及执行</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_Toc124325890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16</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1" w:history="1">
        <w:r w:rsidR="006E7E82" w:rsidRPr="00091B90">
          <w:rPr>
            <w:rStyle w:val="a9"/>
            <w:rFonts w:asciiTheme="minorEastAsia" w:eastAsiaTheme="minorEastAsia" w:hAnsiTheme="minorEastAsia" w:hint="eastAsia"/>
            <w:noProof/>
            <w:szCs w:val="21"/>
          </w:rPr>
          <w:t>七、交易及清算交收安排</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_Toc124325891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19</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2" w:history="1">
        <w:r w:rsidR="006E7E82" w:rsidRPr="00091B90">
          <w:rPr>
            <w:rStyle w:val="a9"/>
            <w:rFonts w:asciiTheme="minorEastAsia" w:eastAsiaTheme="minorEastAsia" w:hAnsiTheme="minorEastAsia" w:hint="eastAsia"/>
            <w:noProof/>
            <w:szCs w:val="21"/>
          </w:rPr>
          <w:t>八、基金资产净值计算和会计核算</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_Toc124325892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22</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3" w:history="1">
        <w:r w:rsidR="006E7E82" w:rsidRPr="00091B90">
          <w:rPr>
            <w:rStyle w:val="a9"/>
            <w:rFonts w:asciiTheme="minorEastAsia" w:eastAsiaTheme="minorEastAsia" w:hAnsiTheme="minorEastAsia" w:hint="eastAsia"/>
            <w:noProof/>
            <w:szCs w:val="21"/>
          </w:rPr>
          <w:t>九、基金收益分配</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_Toc124325893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27</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4" w:history="1">
        <w:r w:rsidR="006E7E82" w:rsidRPr="00091B90">
          <w:rPr>
            <w:rStyle w:val="a9"/>
            <w:rFonts w:asciiTheme="minorEastAsia" w:eastAsiaTheme="minorEastAsia" w:hAnsiTheme="minorEastAsia" w:hint="eastAsia"/>
            <w:noProof/>
            <w:szCs w:val="21"/>
          </w:rPr>
          <w:t>十、基金信息披露</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_Toc124325894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28</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5" w:history="1">
        <w:r w:rsidR="006E7E82" w:rsidRPr="00091B90">
          <w:rPr>
            <w:rStyle w:val="a9"/>
            <w:rFonts w:asciiTheme="minorEastAsia" w:eastAsiaTheme="minorEastAsia" w:hAnsiTheme="minorEastAsia" w:hint="eastAsia"/>
            <w:noProof/>
            <w:szCs w:val="21"/>
          </w:rPr>
          <w:t>十一、基金费用</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_Toc124325895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30</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6" w:history="1">
        <w:r w:rsidR="006E7E82" w:rsidRPr="00091B90">
          <w:rPr>
            <w:rStyle w:val="a9"/>
            <w:rFonts w:asciiTheme="minorEastAsia" w:eastAsiaTheme="minorEastAsia" w:hAnsiTheme="minorEastAsia" w:hint="eastAsia"/>
            <w:noProof/>
            <w:szCs w:val="21"/>
          </w:rPr>
          <w:t>十二、基金份额持有人名册的保管</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_Toc124325896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32</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7" w:history="1">
        <w:r w:rsidR="006E7E82" w:rsidRPr="00091B90">
          <w:rPr>
            <w:rStyle w:val="a9"/>
            <w:rFonts w:asciiTheme="minorEastAsia" w:eastAsiaTheme="minorEastAsia" w:hAnsiTheme="minorEastAsia" w:hint="eastAsia"/>
            <w:noProof/>
            <w:szCs w:val="21"/>
          </w:rPr>
          <w:t>十三、基金有关文件档案的保存</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_Toc124325897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33</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8" w:history="1">
        <w:r w:rsidR="006E7E82" w:rsidRPr="00091B90">
          <w:rPr>
            <w:rStyle w:val="a9"/>
            <w:rFonts w:asciiTheme="minorEastAsia" w:eastAsiaTheme="minorEastAsia" w:hAnsiTheme="minorEastAsia" w:hint="eastAsia"/>
            <w:noProof/>
            <w:szCs w:val="21"/>
          </w:rPr>
          <w:t>十四、基金管理人和基金托管人的更换</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_Toc124325898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34</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899" w:history="1">
        <w:r w:rsidR="006E7E82" w:rsidRPr="00091B90">
          <w:rPr>
            <w:rStyle w:val="a9"/>
            <w:rFonts w:asciiTheme="minorEastAsia" w:eastAsiaTheme="minorEastAsia" w:hAnsiTheme="minorEastAsia" w:hint="eastAsia"/>
            <w:noProof/>
            <w:szCs w:val="21"/>
          </w:rPr>
          <w:t>十五、禁止行为</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_Toc124325899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36</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900" w:history="1">
        <w:r w:rsidR="006E7E82" w:rsidRPr="00091B90">
          <w:rPr>
            <w:rStyle w:val="a9"/>
            <w:rFonts w:asciiTheme="minorEastAsia" w:eastAsiaTheme="minorEastAsia" w:hAnsiTheme="minorEastAsia" w:hint="eastAsia"/>
            <w:noProof/>
            <w:szCs w:val="21"/>
          </w:rPr>
          <w:t>十六、托管协议的变更、终止与基金财产的清算</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_Toc124325900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37</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901" w:history="1">
        <w:r w:rsidR="006E7E82" w:rsidRPr="00091B90">
          <w:rPr>
            <w:rStyle w:val="a9"/>
            <w:rFonts w:asciiTheme="minorEastAsia" w:eastAsiaTheme="minorEastAsia" w:hAnsiTheme="minorEastAsia" w:hint="eastAsia"/>
            <w:noProof/>
            <w:szCs w:val="21"/>
          </w:rPr>
          <w:t>十七、违约责任</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_Toc124325901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39</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902" w:history="1">
        <w:r w:rsidR="006E7E82" w:rsidRPr="00091B90">
          <w:rPr>
            <w:rStyle w:val="a9"/>
            <w:rFonts w:asciiTheme="minorEastAsia" w:eastAsiaTheme="minorEastAsia" w:hAnsiTheme="minorEastAsia" w:hint="eastAsia"/>
            <w:noProof/>
            <w:szCs w:val="21"/>
          </w:rPr>
          <w:t>十八、争议解决方式</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_Toc124325902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40</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903" w:history="1">
        <w:r w:rsidR="006E7E82" w:rsidRPr="00091B90">
          <w:rPr>
            <w:rStyle w:val="a9"/>
            <w:rFonts w:asciiTheme="minorEastAsia" w:eastAsiaTheme="minorEastAsia" w:hAnsiTheme="minorEastAsia" w:hint="eastAsia"/>
            <w:noProof/>
            <w:szCs w:val="21"/>
          </w:rPr>
          <w:t>十九、托管协议的效力</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_Toc124325903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41</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904" w:history="1">
        <w:r w:rsidR="006E7E82" w:rsidRPr="00091B90">
          <w:rPr>
            <w:rStyle w:val="a9"/>
            <w:rFonts w:asciiTheme="minorEastAsia" w:eastAsiaTheme="minorEastAsia" w:hAnsiTheme="minorEastAsia" w:hint="eastAsia"/>
            <w:noProof/>
            <w:szCs w:val="21"/>
          </w:rPr>
          <w:t>二十、其他事项</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_Toc124325904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42</w:t>
        </w:r>
        <w:r w:rsidR="006E7E82" w:rsidRPr="00091B90">
          <w:rPr>
            <w:rFonts w:asciiTheme="minorEastAsia" w:eastAsiaTheme="minorEastAsia" w:hAnsiTheme="minorEastAsia" w:hint="eastAsia"/>
            <w:noProof/>
            <w:webHidden/>
            <w:szCs w:val="21"/>
          </w:rPr>
          <w:fldChar w:fldCharType="end"/>
        </w:r>
      </w:hyperlink>
    </w:p>
    <w:p w:rsidR="006E7E82" w:rsidRPr="00091B90" w:rsidRDefault="00613070" w:rsidP="00091B90">
      <w:pPr>
        <w:pStyle w:val="21"/>
        <w:tabs>
          <w:tab w:val="right" w:leader="dot" w:pos="8494"/>
        </w:tabs>
        <w:spacing w:line="360" w:lineRule="auto"/>
        <w:rPr>
          <w:rFonts w:asciiTheme="minorEastAsia" w:eastAsiaTheme="minorEastAsia" w:hAnsiTheme="minorEastAsia"/>
          <w:noProof/>
          <w:szCs w:val="21"/>
        </w:rPr>
      </w:pPr>
      <w:hyperlink w:anchor="_Toc124325905" w:history="1">
        <w:r w:rsidR="006E7E82" w:rsidRPr="00091B90">
          <w:rPr>
            <w:rStyle w:val="a9"/>
            <w:rFonts w:asciiTheme="minorEastAsia" w:eastAsiaTheme="minorEastAsia" w:hAnsiTheme="minorEastAsia" w:hint="eastAsia"/>
            <w:noProof/>
            <w:szCs w:val="21"/>
          </w:rPr>
          <w:t>二十一、托管协议的签订</w:t>
        </w:r>
        <w:r w:rsidR="006E7E82" w:rsidRPr="00091B90">
          <w:rPr>
            <w:rFonts w:asciiTheme="minorEastAsia" w:eastAsiaTheme="minorEastAsia" w:hAnsiTheme="minorEastAsia" w:hint="eastAsia"/>
            <w:noProof/>
            <w:webHidden/>
            <w:szCs w:val="21"/>
          </w:rPr>
          <w:tab/>
        </w:r>
        <w:r w:rsidR="006E7E82" w:rsidRPr="00091B90">
          <w:rPr>
            <w:rFonts w:asciiTheme="minorEastAsia" w:eastAsiaTheme="minorEastAsia" w:hAnsiTheme="minorEastAsia" w:hint="eastAsia"/>
            <w:noProof/>
            <w:webHidden/>
            <w:szCs w:val="21"/>
          </w:rPr>
          <w:fldChar w:fldCharType="begin"/>
        </w:r>
        <w:r w:rsidR="006E7E82" w:rsidRPr="00091B90">
          <w:rPr>
            <w:rFonts w:asciiTheme="minorEastAsia" w:eastAsiaTheme="minorEastAsia" w:hAnsiTheme="minorEastAsia" w:hint="eastAsia"/>
            <w:noProof/>
            <w:webHidden/>
            <w:szCs w:val="21"/>
          </w:rPr>
          <w:instrText xml:space="preserve"> PAGEREF _Toc124325905 \h </w:instrText>
        </w:r>
        <w:r w:rsidR="006E7E82" w:rsidRPr="00091B90">
          <w:rPr>
            <w:rFonts w:asciiTheme="minorEastAsia" w:eastAsiaTheme="minorEastAsia" w:hAnsiTheme="minorEastAsia" w:hint="eastAsia"/>
            <w:noProof/>
            <w:webHidden/>
            <w:szCs w:val="21"/>
          </w:rPr>
        </w:r>
        <w:r w:rsidR="006E7E82" w:rsidRPr="00091B90">
          <w:rPr>
            <w:rFonts w:asciiTheme="minorEastAsia" w:eastAsiaTheme="minorEastAsia" w:hAnsiTheme="minorEastAsia" w:hint="eastAsia"/>
            <w:noProof/>
            <w:webHidden/>
            <w:szCs w:val="21"/>
          </w:rPr>
          <w:fldChar w:fldCharType="separate"/>
        </w:r>
        <w:r w:rsidR="008943F1">
          <w:rPr>
            <w:rFonts w:asciiTheme="minorEastAsia" w:eastAsiaTheme="minorEastAsia" w:hAnsiTheme="minorEastAsia"/>
            <w:noProof/>
            <w:webHidden/>
            <w:szCs w:val="21"/>
          </w:rPr>
          <w:t>43</w:t>
        </w:r>
        <w:r w:rsidR="006E7E82" w:rsidRPr="00091B90">
          <w:rPr>
            <w:rFonts w:asciiTheme="minorEastAsia" w:eastAsiaTheme="minorEastAsia" w:hAnsiTheme="minorEastAsia" w:hint="eastAsia"/>
            <w:noProof/>
            <w:webHidden/>
            <w:szCs w:val="21"/>
          </w:rPr>
          <w:fldChar w:fldCharType="end"/>
        </w:r>
      </w:hyperlink>
    </w:p>
    <w:p w:rsidR="006E7E82" w:rsidRPr="00091B90" w:rsidRDefault="006E7E82" w:rsidP="00091B90">
      <w:pPr>
        <w:spacing w:line="360" w:lineRule="auto"/>
        <w:rPr>
          <w:rFonts w:asciiTheme="minorEastAsia" w:eastAsiaTheme="minorEastAsia" w:hAnsiTheme="minorEastAsia"/>
          <w:szCs w:val="21"/>
        </w:rPr>
      </w:pPr>
      <w:r w:rsidRPr="00091B90">
        <w:rPr>
          <w:rFonts w:asciiTheme="minorEastAsia" w:eastAsiaTheme="minorEastAsia" w:hAnsiTheme="minorEastAsia" w:hint="eastAsia"/>
          <w:szCs w:val="21"/>
        </w:rPr>
        <w:fldChar w:fldCharType="end"/>
      </w:r>
    </w:p>
    <w:p w:rsidR="00091B90" w:rsidRDefault="00091B90" w:rsidP="00091B90">
      <w:pPr>
        <w:widowControl/>
        <w:adjustRightInd w:val="0"/>
        <w:snapToGrid w:val="0"/>
        <w:spacing w:line="360" w:lineRule="auto"/>
        <w:ind w:firstLineChars="200" w:firstLine="420"/>
        <w:rPr>
          <w:rFonts w:asciiTheme="minorEastAsia" w:eastAsiaTheme="minorEastAsia" w:hAnsiTheme="minorEastAsia" w:cs="Arial"/>
          <w:kern w:val="0"/>
          <w:szCs w:val="21"/>
        </w:rPr>
      </w:pPr>
      <w:r>
        <w:rPr>
          <w:rFonts w:asciiTheme="minorEastAsia" w:eastAsiaTheme="minorEastAsia" w:hAnsiTheme="minorEastAsia" w:cs="Arial"/>
          <w:kern w:val="0"/>
          <w:szCs w:val="21"/>
        </w:rPr>
        <w:br w:type="page"/>
      </w:r>
    </w:p>
    <w:p w:rsidR="006E7E82" w:rsidRPr="008943F1" w:rsidRDefault="006E7E82" w:rsidP="00762BF7">
      <w:pPr>
        <w:widowControl/>
        <w:adjustRightInd w:val="0"/>
        <w:snapToGrid w:val="0"/>
        <w:spacing w:line="360" w:lineRule="auto"/>
        <w:ind w:firstLineChars="200" w:firstLine="420"/>
        <w:rPr>
          <w:rFonts w:asciiTheme="minorEastAsia" w:hAnsiTheme="minorEastAsia" w:cs="Arial"/>
          <w:kern w:val="0"/>
          <w:szCs w:val="21"/>
        </w:rPr>
      </w:pPr>
      <w:r w:rsidRPr="008943F1">
        <w:rPr>
          <w:rFonts w:asciiTheme="minorEastAsia" w:hAnsiTheme="minorEastAsia" w:cs="Arial" w:hint="eastAsia"/>
          <w:kern w:val="0"/>
          <w:szCs w:val="21"/>
        </w:rPr>
        <w:lastRenderedPageBreak/>
        <w:t>鉴于</w:t>
      </w:r>
      <w:r w:rsidR="00B849D9" w:rsidRPr="008943F1">
        <w:rPr>
          <w:rFonts w:asciiTheme="minorEastAsia" w:hAnsiTheme="minorEastAsia" w:cs="Arial" w:hint="eastAsia"/>
          <w:kern w:val="0"/>
          <w:szCs w:val="21"/>
        </w:rPr>
        <w:t>鹏华</w:t>
      </w:r>
      <w:r w:rsidRPr="008943F1">
        <w:rPr>
          <w:rFonts w:asciiTheme="minorEastAsia" w:hAnsiTheme="minorEastAsia" w:cs="Arial" w:hint="eastAsia"/>
          <w:kern w:val="0"/>
          <w:szCs w:val="21"/>
        </w:rPr>
        <w:t>基金管理有限公司系一家依照中国法律合法成立并有效存续的有限责任公司，按照相关法律法规的规定具备担任基金管理人的资格和能力，拟募集发行</w:t>
      </w:r>
      <w:r w:rsidR="00A21F35" w:rsidRPr="008943F1">
        <w:rPr>
          <w:rFonts w:asciiTheme="minorEastAsia" w:hAnsiTheme="minorEastAsia" w:cs="Arial" w:hint="eastAsia"/>
          <w:kern w:val="0"/>
          <w:szCs w:val="21"/>
        </w:rPr>
        <w:t>鹏华兴泰定期开放灵活配置混合型</w:t>
      </w:r>
      <w:r w:rsidRPr="008943F1">
        <w:rPr>
          <w:rFonts w:asciiTheme="minorEastAsia" w:hAnsiTheme="minorEastAsia" w:cs="Arial" w:hint="eastAsia"/>
          <w:kern w:val="0"/>
          <w:szCs w:val="21"/>
        </w:rPr>
        <w:t>证券投资基金；</w:t>
      </w:r>
    </w:p>
    <w:p w:rsidR="006E7E82" w:rsidRPr="008943F1" w:rsidRDefault="006E7E82" w:rsidP="00762BF7">
      <w:pPr>
        <w:widowControl/>
        <w:adjustRightInd w:val="0"/>
        <w:snapToGrid w:val="0"/>
        <w:spacing w:line="360" w:lineRule="auto"/>
        <w:ind w:firstLineChars="200" w:firstLine="420"/>
        <w:rPr>
          <w:rFonts w:asciiTheme="minorEastAsia" w:hAnsiTheme="minorEastAsia" w:cs="Arial"/>
          <w:kern w:val="0"/>
          <w:szCs w:val="21"/>
        </w:rPr>
      </w:pPr>
      <w:r w:rsidRPr="008943F1">
        <w:rPr>
          <w:rFonts w:asciiTheme="minorEastAsia" w:hAnsiTheme="minorEastAsia" w:cs="Arial" w:hint="eastAsia"/>
          <w:kern w:val="0"/>
          <w:szCs w:val="21"/>
        </w:rPr>
        <w:t>鉴于中国建设银行股份有限公司系一家依照中国法律合法成立并有效存续的银行，按照相关法律法规的规定具备担任基金托管人的资格和能力；</w:t>
      </w:r>
    </w:p>
    <w:p w:rsidR="006E7E82" w:rsidRPr="008943F1" w:rsidRDefault="006E7E82" w:rsidP="00762BF7">
      <w:pPr>
        <w:widowControl/>
        <w:adjustRightInd w:val="0"/>
        <w:snapToGrid w:val="0"/>
        <w:spacing w:line="360" w:lineRule="auto"/>
        <w:ind w:firstLineChars="200" w:firstLine="420"/>
        <w:rPr>
          <w:rFonts w:asciiTheme="minorEastAsia" w:hAnsiTheme="minorEastAsia" w:cs="Arial"/>
          <w:kern w:val="0"/>
          <w:szCs w:val="21"/>
        </w:rPr>
      </w:pPr>
      <w:r w:rsidRPr="008943F1">
        <w:rPr>
          <w:rFonts w:asciiTheme="minorEastAsia" w:hAnsiTheme="minorEastAsia" w:cs="Arial" w:hint="eastAsia"/>
          <w:kern w:val="0"/>
          <w:szCs w:val="21"/>
        </w:rPr>
        <w:t>鉴于</w:t>
      </w:r>
      <w:r w:rsidR="00B849D9" w:rsidRPr="008943F1">
        <w:rPr>
          <w:rFonts w:asciiTheme="minorEastAsia" w:hAnsiTheme="minorEastAsia" w:cs="Arial" w:hint="eastAsia"/>
          <w:kern w:val="0"/>
          <w:szCs w:val="21"/>
        </w:rPr>
        <w:t>鹏华</w:t>
      </w:r>
      <w:r w:rsidRPr="008943F1">
        <w:rPr>
          <w:rFonts w:asciiTheme="minorEastAsia" w:hAnsiTheme="minorEastAsia" w:cs="Arial" w:hint="eastAsia"/>
          <w:kern w:val="0"/>
          <w:szCs w:val="21"/>
        </w:rPr>
        <w:t>基金管理有限公司拟担任</w:t>
      </w:r>
      <w:r w:rsidR="00B849D9" w:rsidRPr="008943F1">
        <w:rPr>
          <w:rFonts w:asciiTheme="minorEastAsia" w:hAnsiTheme="minorEastAsia" w:cs="Arial" w:hint="eastAsia"/>
          <w:kern w:val="0"/>
          <w:szCs w:val="21"/>
        </w:rPr>
        <w:t>鹏华兴泰定期开放灵活配置混合型</w:t>
      </w:r>
      <w:r w:rsidRPr="008943F1">
        <w:rPr>
          <w:rFonts w:asciiTheme="minorEastAsia" w:hAnsiTheme="minorEastAsia" w:cs="Arial" w:hint="eastAsia"/>
          <w:kern w:val="0"/>
          <w:szCs w:val="21"/>
        </w:rPr>
        <w:t>证券投资基金的基金管理人，中国建设银行股份有限公司拟担任</w:t>
      </w:r>
      <w:r w:rsidR="00B849D9" w:rsidRPr="008943F1">
        <w:rPr>
          <w:rFonts w:asciiTheme="minorEastAsia" w:hAnsiTheme="minorEastAsia" w:cs="Arial" w:hint="eastAsia"/>
          <w:kern w:val="0"/>
          <w:szCs w:val="21"/>
        </w:rPr>
        <w:t>鹏华兴泰定期开放灵活配置混合型</w:t>
      </w:r>
      <w:r w:rsidRPr="008943F1">
        <w:rPr>
          <w:rFonts w:asciiTheme="minorEastAsia" w:hAnsiTheme="minorEastAsia" w:cs="Arial" w:hint="eastAsia"/>
          <w:kern w:val="0"/>
          <w:szCs w:val="21"/>
        </w:rPr>
        <w:t>证券投资基金的基金托管人；</w:t>
      </w:r>
    </w:p>
    <w:p w:rsidR="006E7E82" w:rsidRPr="008943F1" w:rsidRDefault="006E7E82" w:rsidP="00762BF7">
      <w:pPr>
        <w:widowControl/>
        <w:adjustRightInd w:val="0"/>
        <w:snapToGrid w:val="0"/>
        <w:spacing w:line="360" w:lineRule="auto"/>
        <w:ind w:firstLineChars="200" w:firstLine="420"/>
        <w:rPr>
          <w:rFonts w:asciiTheme="minorEastAsia" w:hAnsiTheme="minorEastAsia" w:cs="Arial"/>
          <w:kern w:val="0"/>
          <w:szCs w:val="21"/>
        </w:rPr>
      </w:pPr>
      <w:r w:rsidRPr="008943F1">
        <w:rPr>
          <w:rFonts w:asciiTheme="minorEastAsia" w:hAnsiTheme="minorEastAsia" w:cs="Arial" w:hint="eastAsia"/>
          <w:kern w:val="0"/>
          <w:szCs w:val="21"/>
        </w:rPr>
        <w:t>为明确</w:t>
      </w:r>
      <w:r w:rsidR="00B849D9" w:rsidRPr="008943F1">
        <w:rPr>
          <w:rFonts w:asciiTheme="minorEastAsia" w:hAnsiTheme="minorEastAsia" w:cs="Arial" w:hint="eastAsia"/>
          <w:kern w:val="0"/>
          <w:szCs w:val="21"/>
        </w:rPr>
        <w:t>鹏华兴泰定期开放灵活配置混合型</w:t>
      </w:r>
      <w:r w:rsidRPr="008943F1">
        <w:rPr>
          <w:rFonts w:asciiTheme="minorEastAsia" w:hAnsiTheme="minorEastAsia" w:cs="Arial" w:hint="eastAsia"/>
          <w:kern w:val="0"/>
          <w:szCs w:val="21"/>
        </w:rPr>
        <w:t>证券投资基金的基金管理人和基金托管人之间的权利义务关系，特制订本托管协议；</w:t>
      </w:r>
    </w:p>
    <w:p w:rsidR="006E7E82" w:rsidRPr="008943F1" w:rsidRDefault="006E7E82" w:rsidP="00762BF7">
      <w:pPr>
        <w:widowControl/>
        <w:adjustRightInd w:val="0"/>
        <w:snapToGrid w:val="0"/>
        <w:spacing w:line="360" w:lineRule="auto"/>
        <w:ind w:firstLineChars="200" w:firstLine="420"/>
        <w:rPr>
          <w:rFonts w:asciiTheme="minorEastAsia" w:hAnsiTheme="minorEastAsia" w:cs="Arial"/>
          <w:kern w:val="0"/>
          <w:szCs w:val="21"/>
          <w:lang w:val="en-GB"/>
        </w:rPr>
      </w:pPr>
      <w:r w:rsidRPr="008943F1">
        <w:rPr>
          <w:rFonts w:asciiTheme="minorEastAsia" w:hAnsiTheme="minorEastAsia" w:cs="Arial" w:hint="eastAsia"/>
          <w:kern w:val="0"/>
          <w:szCs w:val="21"/>
          <w:lang w:val="en-GB"/>
        </w:rPr>
        <w:t>除非另有约定，《</w:t>
      </w:r>
      <w:r w:rsidR="00B849D9" w:rsidRPr="008943F1">
        <w:rPr>
          <w:rFonts w:asciiTheme="minorEastAsia" w:hAnsiTheme="minorEastAsia" w:cs="Arial" w:hint="eastAsia"/>
          <w:kern w:val="0"/>
          <w:szCs w:val="21"/>
          <w:lang w:val="en-GB"/>
        </w:rPr>
        <w:t>鹏华</w:t>
      </w:r>
      <w:r w:rsidR="00B849D9" w:rsidRPr="008943F1">
        <w:rPr>
          <w:rFonts w:asciiTheme="minorEastAsia" w:hAnsiTheme="minorEastAsia" w:cs="Arial" w:hint="eastAsia"/>
          <w:kern w:val="0"/>
          <w:szCs w:val="21"/>
        </w:rPr>
        <w:t>兴泰定期开放灵活配置混合型</w:t>
      </w:r>
      <w:r w:rsidRPr="008943F1">
        <w:rPr>
          <w:rFonts w:asciiTheme="minorEastAsia" w:hAnsiTheme="minorEastAsia" w:cs="Arial" w:hint="eastAsia"/>
          <w:kern w:val="0"/>
          <w:szCs w:val="21"/>
          <w:lang w:val="en-GB"/>
        </w:rPr>
        <w:t>证券投资基金基金合同》(以下简称“基金合同”)中定义的术语在用于本托管协议时应具有相同的含义；若有抵触应以《基金合同》为准，并依其</w:t>
      </w:r>
      <w:r w:rsidRPr="008943F1">
        <w:rPr>
          <w:rFonts w:asciiTheme="minorEastAsia" w:hAnsiTheme="minorEastAsia" w:cs="Arial" w:hint="eastAsia"/>
          <w:kern w:val="0"/>
          <w:szCs w:val="21"/>
        </w:rPr>
        <w:t>条款</w:t>
      </w:r>
      <w:r w:rsidRPr="008943F1">
        <w:rPr>
          <w:rFonts w:asciiTheme="minorEastAsia" w:hAnsiTheme="minorEastAsia" w:cs="Arial" w:hint="eastAsia"/>
          <w:kern w:val="0"/>
          <w:szCs w:val="21"/>
          <w:lang w:val="en-GB"/>
        </w:rPr>
        <w:t>解释。</w:t>
      </w:r>
    </w:p>
    <w:p w:rsidR="006E7E82" w:rsidRPr="008943F1" w:rsidRDefault="006E7E82" w:rsidP="00762BF7">
      <w:pPr>
        <w:spacing w:line="360" w:lineRule="auto"/>
        <w:rPr>
          <w:rFonts w:asciiTheme="minorEastAsia" w:hAnsiTheme="minorEastAsia"/>
          <w:szCs w:val="21"/>
          <w:lang w:val="en-GB"/>
        </w:rPr>
      </w:pPr>
    </w:p>
    <w:p w:rsidR="00091B90" w:rsidRPr="008943F1" w:rsidRDefault="00091B90" w:rsidP="00762BF7">
      <w:pPr>
        <w:pStyle w:val="2"/>
        <w:spacing w:before="0" w:after="0" w:line="360" w:lineRule="auto"/>
        <w:jc w:val="center"/>
        <w:rPr>
          <w:rFonts w:asciiTheme="minorEastAsia" w:eastAsia="宋体" w:hAnsiTheme="minorEastAsia"/>
          <w:sz w:val="21"/>
          <w:szCs w:val="21"/>
        </w:rPr>
      </w:pPr>
      <w:bookmarkStart w:id="1" w:name="_Toc124325885"/>
      <w:r w:rsidRPr="008943F1">
        <w:rPr>
          <w:rFonts w:asciiTheme="minorEastAsia" w:eastAsia="宋体" w:hAnsiTheme="minorEastAsia"/>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一、基金托管协议当事人</w:t>
      </w:r>
      <w:bookmarkEnd w:id="1"/>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（一）基金管理人</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名称：鹏华基金管理有限公司</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住所：深圳市福田区福华三路168号深圳国际商会中心43层</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法定代表人：何如</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成立时间：1998年12月22日</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批准设立机关及批准设立文号：中国证券监督管理委员会［1998］31号文</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注册资本： 1.5亿元</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组织形式: 有限责任公司</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经营范围：基金募集；基金销售；资产管理以及中国证监会许可的其它业务</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存续期间：持续经营</w:t>
      </w:r>
    </w:p>
    <w:p w:rsidR="00B849D9" w:rsidRPr="008943F1" w:rsidRDefault="00B849D9" w:rsidP="00762BF7">
      <w:pPr>
        <w:tabs>
          <w:tab w:val="left" w:pos="1320"/>
        </w:tabs>
        <w:spacing w:line="360" w:lineRule="auto"/>
        <w:ind w:firstLineChars="200" w:firstLine="420"/>
        <w:rPr>
          <w:rFonts w:asciiTheme="minorEastAsia" w:hAnsiTheme="minorEastAsia"/>
          <w:szCs w:val="21"/>
        </w:rPr>
      </w:pPr>
      <w:r w:rsidRPr="008943F1">
        <w:rPr>
          <w:rFonts w:asciiTheme="minorEastAsia" w:hAnsiTheme="minorEastAsia" w:hint="eastAsia"/>
          <w:szCs w:val="21"/>
        </w:rPr>
        <w:t>电话：</w:t>
      </w:r>
      <w:r w:rsidRPr="008943F1">
        <w:rPr>
          <w:rFonts w:asciiTheme="minorEastAsia" w:hAnsiTheme="minorEastAsia"/>
          <w:szCs w:val="21"/>
        </w:rPr>
        <w:t xml:space="preserve"> 0755-82021233</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 xml:space="preserve">传真： </w:t>
      </w:r>
      <w:r w:rsidRPr="008943F1">
        <w:rPr>
          <w:rFonts w:asciiTheme="minorEastAsia" w:hAnsiTheme="minorEastAsia"/>
          <w:szCs w:val="21"/>
        </w:rPr>
        <w:t>0755-82021155</w:t>
      </w:r>
    </w:p>
    <w:p w:rsidR="00B849D9" w:rsidRPr="008943F1" w:rsidRDefault="00B849D9"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联系人：</w:t>
      </w:r>
      <w:proofErr w:type="gramStart"/>
      <w:r w:rsidRPr="008943F1">
        <w:rPr>
          <w:rFonts w:asciiTheme="minorEastAsia" w:hAnsiTheme="minorEastAsia" w:hint="eastAsia"/>
          <w:szCs w:val="21"/>
        </w:rPr>
        <w:t>吕</w:t>
      </w:r>
      <w:proofErr w:type="gramEnd"/>
      <w:r w:rsidRPr="008943F1">
        <w:rPr>
          <w:rFonts w:asciiTheme="minorEastAsia" w:hAnsiTheme="minorEastAsia" w:hint="eastAsia"/>
          <w:szCs w:val="21"/>
        </w:rPr>
        <w:t>奇志</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（二）基金托管人</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名称：中国建设银行股份有限公司(简称：中国建设银行)</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住所：北京市西城区金融大街25号</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办公地址：北京市西城区闹市口大街1号院1号楼</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邮政编码：100033</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法定代表人：王洪章</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成立日期：</w:t>
      </w:r>
      <w:smartTag w:uri="urn:schemas-microsoft-com:office:smarttags" w:element="chsdate">
        <w:smartTagPr>
          <w:attr w:name="Year" w:val="2004"/>
          <w:attr w:name="Month" w:val="09"/>
          <w:attr w:name="Day" w:val="17"/>
          <w:attr w:name="IsLunarDate" w:val="False"/>
          <w:attr w:name="IsROCDate" w:val="False"/>
        </w:smartTagPr>
        <w:r w:rsidRPr="008943F1">
          <w:rPr>
            <w:rFonts w:asciiTheme="minorEastAsia" w:hAnsiTheme="minorEastAsia" w:hint="eastAsia"/>
            <w:szCs w:val="21"/>
          </w:rPr>
          <w:t>2004年09月17日</w:t>
        </w:r>
      </w:smartTag>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基金托管业务批准文号：中国证监会</w:t>
      </w:r>
      <w:proofErr w:type="gramStart"/>
      <w:r w:rsidRPr="008943F1">
        <w:rPr>
          <w:rFonts w:asciiTheme="minorEastAsia" w:hAnsiTheme="minorEastAsia" w:hint="eastAsia"/>
          <w:szCs w:val="21"/>
        </w:rPr>
        <w:t>证监基字</w:t>
      </w:r>
      <w:proofErr w:type="gramEnd"/>
      <w:r w:rsidRPr="008943F1">
        <w:rPr>
          <w:rFonts w:asciiTheme="minorEastAsia" w:hAnsiTheme="minorEastAsia" w:hint="eastAsia"/>
          <w:szCs w:val="21"/>
        </w:rPr>
        <w:t>[1998</w:t>
      </w:r>
      <w:bookmarkStart w:id="2" w:name="OLE_LINK3"/>
      <w:r w:rsidRPr="008943F1">
        <w:rPr>
          <w:rFonts w:asciiTheme="minorEastAsia" w:hAnsiTheme="minorEastAsia" w:hint="eastAsia"/>
          <w:szCs w:val="21"/>
        </w:rPr>
        <w:t>]</w:t>
      </w:r>
      <w:bookmarkEnd w:id="2"/>
      <w:r w:rsidRPr="008943F1">
        <w:rPr>
          <w:rFonts w:asciiTheme="minorEastAsia" w:hAnsiTheme="minorEastAsia" w:hint="eastAsia"/>
          <w:szCs w:val="21"/>
        </w:rPr>
        <w:t>12号</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组织形式：股份有限公司</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注册资本：</w:t>
      </w:r>
      <w:proofErr w:type="gramStart"/>
      <w:r w:rsidRPr="008943F1">
        <w:rPr>
          <w:rFonts w:asciiTheme="minorEastAsia" w:hAnsiTheme="minorEastAsia" w:hint="eastAsia"/>
          <w:szCs w:val="21"/>
        </w:rPr>
        <w:t>贰仟伍佰亿壹仟零玖拾柒万柒仟肆佰捌拾陆</w:t>
      </w:r>
      <w:proofErr w:type="gramEnd"/>
      <w:r w:rsidRPr="008943F1">
        <w:rPr>
          <w:rFonts w:asciiTheme="minorEastAsia" w:hAnsiTheme="minorEastAsia" w:hint="eastAsia"/>
          <w:szCs w:val="21"/>
        </w:rPr>
        <w:t>元整</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存续期间：持续经营</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w:t>
      </w:r>
      <w:r w:rsidRPr="008943F1">
        <w:rPr>
          <w:rFonts w:asciiTheme="minorEastAsia" w:hAnsiTheme="minorEastAsia" w:hint="eastAsia"/>
          <w:szCs w:val="21"/>
        </w:rPr>
        <w:lastRenderedPageBreak/>
        <w:t>业务。</w:t>
      </w:r>
    </w:p>
    <w:p w:rsidR="006E7E82" w:rsidRPr="008943F1" w:rsidRDefault="006E7E82" w:rsidP="00762BF7">
      <w:pPr>
        <w:spacing w:line="360" w:lineRule="auto"/>
        <w:rPr>
          <w:rFonts w:asciiTheme="minorEastAsia" w:hAnsiTheme="minorEastAsia"/>
          <w:szCs w:val="21"/>
        </w:rPr>
      </w:pPr>
    </w:p>
    <w:p w:rsidR="00B849D9" w:rsidRPr="008943F1" w:rsidRDefault="00B849D9"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3" w:name="_Toc124325886"/>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二、基金托管协议的依据、目的和原则</w:t>
      </w:r>
      <w:bookmarkEnd w:id="3"/>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（一）订立托管协议的依据</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本协议依据《中华人民共和国证券投资基金法》(以下简称“《基金法》”)等有关法律法规、《基金合同》及其他有关规定制订。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（二）订立托管协议的目的</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（三）订立托管协议的原则</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基金管理人和基金托管人本着平等自愿、诚实信用、充分保护基金份额持有人合法权益的原则，经协商一致，签订本协议。</w:t>
      </w:r>
    </w:p>
    <w:p w:rsidR="006E7E82" w:rsidRPr="008943F1" w:rsidRDefault="006E7E82" w:rsidP="00762BF7">
      <w:pPr>
        <w:spacing w:line="360" w:lineRule="auto"/>
        <w:rPr>
          <w:rFonts w:asciiTheme="minorEastAsia" w:hAnsiTheme="minorEastAsia"/>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4" w:name="_Toc124325887"/>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三、基金托管人对基金管理人的业务监督和核查</w:t>
      </w:r>
      <w:bookmarkEnd w:id="4"/>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F0FA6" w:rsidRPr="008943F1" w:rsidRDefault="007F0FA6" w:rsidP="00762BF7">
      <w:pPr>
        <w:spacing w:line="360" w:lineRule="auto"/>
        <w:ind w:firstLine="480"/>
        <w:rPr>
          <w:bCs/>
          <w:szCs w:val="21"/>
        </w:rPr>
      </w:pPr>
      <w:r w:rsidRPr="008943F1">
        <w:rPr>
          <w:rFonts w:hint="eastAsia"/>
          <w:bCs/>
          <w:szCs w:val="21"/>
        </w:rPr>
        <w:t>本基金的投资范围为具有良好流动性的金融工具，包括国内依法发行</w:t>
      </w:r>
      <w:r w:rsidR="00BB0AB8">
        <w:rPr>
          <w:rFonts w:hint="eastAsia"/>
          <w:bCs/>
          <w:szCs w:val="21"/>
        </w:rPr>
        <w:t>上市</w:t>
      </w:r>
      <w:r w:rsidRPr="008943F1">
        <w:rPr>
          <w:rFonts w:hint="eastAsia"/>
          <w:bCs/>
          <w:szCs w:val="21"/>
        </w:rPr>
        <w:t>的股票（包含中小板、创业板及其他经中国证监会核准上市的股票）、债券（含国债、金融债、企业债、公司债、央行票据、地方政府债、中期票据、短期融资</w:t>
      </w:r>
      <w:proofErr w:type="gramStart"/>
      <w:r w:rsidRPr="008943F1">
        <w:rPr>
          <w:rFonts w:hint="eastAsia"/>
          <w:bCs/>
          <w:szCs w:val="21"/>
        </w:rPr>
        <w:t>券</w:t>
      </w:r>
      <w:proofErr w:type="gramEnd"/>
      <w:r w:rsidRPr="008943F1">
        <w:rPr>
          <w:rFonts w:hint="eastAsia"/>
          <w:bCs/>
          <w:szCs w:val="21"/>
        </w:rPr>
        <w:t>、超短期融资</w:t>
      </w:r>
      <w:proofErr w:type="gramStart"/>
      <w:r w:rsidRPr="008943F1">
        <w:rPr>
          <w:rFonts w:hint="eastAsia"/>
          <w:bCs/>
          <w:szCs w:val="21"/>
        </w:rPr>
        <w:t>券</w:t>
      </w:r>
      <w:proofErr w:type="gramEnd"/>
      <w:r w:rsidRPr="008943F1">
        <w:rPr>
          <w:rFonts w:hint="eastAsia"/>
          <w:bCs/>
          <w:szCs w:val="21"/>
        </w:rPr>
        <w:t>、次级债、可转换债券、可交换债券、中小企业私募债等）、货币市场工具</w:t>
      </w:r>
      <w:r w:rsidR="00BB0AB8">
        <w:rPr>
          <w:rFonts w:hint="eastAsia"/>
          <w:bCs/>
          <w:szCs w:val="21"/>
        </w:rPr>
        <w:t>、</w:t>
      </w:r>
      <w:r w:rsidRPr="008943F1">
        <w:rPr>
          <w:rFonts w:hint="eastAsia"/>
          <w:bCs/>
          <w:szCs w:val="21"/>
        </w:rPr>
        <w:t>同业存单、债券回购、权证、资产支持证券以及法律法规或中国证监会允许基金投资的其他金融工具（但须符合中国证监会相关规定）。</w:t>
      </w:r>
    </w:p>
    <w:p w:rsidR="007F0FA6" w:rsidRPr="008943F1" w:rsidRDefault="007F0FA6" w:rsidP="00762BF7">
      <w:pPr>
        <w:spacing w:line="360" w:lineRule="auto"/>
        <w:ind w:firstLine="480"/>
        <w:rPr>
          <w:bCs/>
          <w:szCs w:val="21"/>
        </w:rPr>
      </w:pPr>
      <w:r w:rsidRPr="008943F1">
        <w:rPr>
          <w:bCs/>
          <w:szCs w:val="21"/>
        </w:rPr>
        <w:t>如法律法规或监管机构以后允许基金投资其他品种，基金管理人在履行适当程序后，可以将其纳入投资范围。</w:t>
      </w:r>
    </w:p>
    <w:p w:rsidR="007F0FA6" w:rsidRPr="008943F1" w:rsidRDefault="007F0FA6" w:rsidP="00762BF7">
      <w:pPr>
        <w:spacing w:line="360" w:lineRule="auto"/>
        <w:ind w:firstLine="480"/>
        <w:rPr>
          <w:bCs/>
          <w:szCs w:val="21"/>
        </w:rPr>
      </w:pPr>
      <w:r w:rsidRPr="008943F1">
        <w:rPr>
          <w:bCs/>
          <w:szCs w:val="21"/>
        </w:rPr>
        <w:t>基金的投资组合比例为：封闭期内，</w:t>
      </w:r>
      <w:r w:rsidRPr="008943F1">
        <w:rPr>
          <w:rFonts w:hint="eastAsia"/>
          <w:bCs/>
          <w:szCs w:val="21"/>
        </w:rPr>
        <w:t>股票资产占基金资产的比例为</w:t>
      </w:r>
      <w:r w:rsidRPr="008943F1">
        <w:rPr>
          <w:rFonts w:hint="eastAsia"/>
          <w:bCs/>
          <w:szCs w:val="21"/>
        </w:rPr>
        <w:t>0%</w:t>
      </w:r>
      <w:r w:rsidRPr="008943F1">
        <w:rPr>
          <w:rFonts w:hint="eastAsia"/>
          <w:bCs/>
          <w:szCs w:val="21"/>
        </w:rPr>
        <w:t>－</w:t>
      </w:r>
      <w:r w:rsidRPr="008943F1">
        <w:rPr>
          <w:rFonts w:hint="eastAsia"/>
          <w:bCs/>
          <w:szCs w:val="21"/>
        </w:rPr>
        <w:t>100%</w:t>
      </w:r>
      <w:r w:rsidRPr="008943F1">
        <w:rPr>
          <w:rFonts w:hint="eastAsia"/>
          <w:bCs/>
          <w:szCs w:val="21"/>
        </w:rPr>
        <w:t>；</w:t>
      </w:r>
      <w:r w:rsidRPr="008943F1">
        <w:rPr>
          <w:rFonts w:ascii="宋体" w:hAnsi="宋体" w:hint="eastAsia"/>
          <w:bCs/>
          <w:szCs w:val="21"/>
        </w:rPr>
        <w:t>开放期内，</w:t>
      </w:r>
      <w:r w:rsidRPr="008943F1">
        <w:rPr>
          <w:rFonts w:hint="eastAsia"/>
          <w:bCs/>
          <w:szCs w:val="21"/>
        </w:rPr>
        <w:t>股票资产占基金资产的比例为</w:t>
      </w:r>
      <w:r w:rsidRPr="008943F1">
        <w:rPr>
          <w:rFonts w:hint="eastAsia"/>
          <w:bCs/>
          <w:szCs w:val="21"/>
        </w:rPr>
        <w:t>0%</w:t>
      </w:r>
      <w:r w:rsidRPr="008943F1">
        <w:rPr>
          <w:rFonts w:hint="eastAsia"/>
          <w:bCs/>
          <w:szCs w:val="21"/>
        </w:rPr>
        <w:t>－</w:t>
      </w:r>
      <w:r w:rsidRPr="008943F1">
        <w:rPr>
          <w:rFonts w:hint="eastAsia"/>
          <w:bCs/>
          <w:szCs w:val="21"/>
        </w:rPr>
        <w:t>95%</w:t>
      </w:r>
      <w:r w:rsidRPr="008943F1">
        <w:rPr>
          <w:rFonts w:hint="eastAsia"/>
          <w:bCs/>
          <w:szCs w:val="21"/>
        </w:rPr>
        <w:t>，</w:t>
      </w:r>
      <w:r w:rsidRPr="008943F1">
        <w:rPr>
          <w:rFonts w:ascii="宋体" w:hAnsi="宋体" w:hint="eastAsia"/>
          <w:bCs/>
          <w:szCs w:val="21"/>
        </w:rPr>
        <w:t>现金或到期日在一年以内的政府债券的投资比例不低于基金资产净值的5％。</w:t>
      </w:r>
    </w:p>
    <w:p w:rsidR="00B849D9" w:rsidRPr="008943F1" w:rsidRDefault="007F0FA6" w:rsidP="00762BF7">
      <w:pPr>
        <w:spacing w:line="360" w:lineRule="auto"/>
        <w:ind w:firstLine="480"/>
        <w:rPr>
          <w:bCs/>
          <w:szCs w:val="21"/>
        </w:rPr>
      </w:pPr>
      <w:r w:rsidRPr="008943F1">
        <w:rPr>
          <w:rFonts w:hint="eastAsia"/>
          <w:bCs/>
          <w:szCs w:val="21"/>
        </w:rPr>
        <w:t>如法律法规或中国证监会变更投资品种的投资比例限制，基金管理人在履行适当程序后，可以调整上述投资品种的投资比例。</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hint="eastAsia"/>
          <w:szCs w:val="21"/>
        </w:rPr>
        <w:t>（二）基金托管人根据有关法律法规的规定及《基金合同》的约定，对基金投资、融资比例进行监督。基金托管人按下述比例和调整期限进行监督：</w:t>
      </w:r>
    </w:p>
    <w:p w:rsidR="00B849D9" w:rsidRPr="008943F1" w:rsidRDefault="00B849D9" w:rsidP="00762BF7">
      <w:pPr>
        <w:spacing w:line="360" w:lineRule="auto"/>
        <w:ind w:firstLineChars="200" w:firstLine="420"/>
        <w:rPr>
          <w:bCs/>
          <w:szCs w:val="21"/>
        </w:rPr>
      </w:pPr>
      <w:r w:rsidRPr="008943F1">
        <w:rPr>
          <w:bCs/>
          <w:szCs w:val="21"/>
        </w:rPr>
        <w:t>1</w:t>
      </w:r>
      <w:r w:rsidRPr="008943F1">
        <w:rPr>
          <w:rFonts w:hint="eastAsia"/>
          <w:bCs/>
          <w:szCs w:val="21"/>
        </w:rPr>
        <w:t>、</w:t>
      </w:r>
      <w:r w:rsidRPr="008943F1">
        <w:rPr>
          <w:bCs/>
          <w:szCs w:val="21"/>
        </w:rPr>
        <w:t>封闭期内，</w:t>
      </w:r>
      <w:r w:rsidRPr="008943F1">
        <w:rPr>
          <w:rFonts w:hint="eastAsia"/>
          <w:bCs/>
          <w:szCs w:val="21"/>
        </w:rPr>
        <w:t>股票资产占基金资产的比例为</w:t>
      </w:r>
      <w:r w:rsidRPr="008943F1">
        <w:rPr>
          <w:rFonts w:hint="eastAsia"/>
          <w:bCs/>
          <w:szCs w:val="21"/>
        </w:rPr>
        <w:t>0%</w:t>
      </w:r>
      <w:r w:rsidRPr="008943F1">
        <w:rPr>
          <w:rFonts w:hint="eastAsia"/>
          <w:bCs/>
          <w:szCs w:val="21"/>
        </w:rPr>
        <w:t>－</w:t>
      </w:r>
      <w:r w:rsidRPr="008943F1">
        <w:rPr>
          <w:rFonts w:hint="eastAsia"/>
          <w:bCs/>
          <w:szCs w:val="21"/>
        </w:rPr>
        <w:t>100%</w:t>
      </w:r>
      <w:r w:rsidRPr="008943F1">
        <w:rPr>
          <w:rFonts w:hint="eastAsia"/>
          <w:bCs/>
          <w:szCs w:val="21"/>
        </w:rPr>
        <w:t>；</w:t>
      </w:r>
      <w:r w:rsidRPr="008943F1">
        <w:rPr>
          <w:rFonts w:ascii="宋体" w:hAnsi="宋体" w:hint="eastAsia"/>
          <w:bCs/>
          <w:szCs w:val="21"/>
        </w:rPr>
        <w:t>开放期内，</w:t>
      </w:r>
      <w:r w:rsidRPr="008943F1">
        <w:rPr>
          <w:rFonts w:hint="eastAsia"/>
          <w:bCs/>
          <w:szCs w:val="21"/>
        </w:rPr>
        <w:t>股票资产占基金资产的比例为</w:t>
      </w:r>
      <w:r w:rsidRPr="008943F1">
        <w:rPr>
          <w:rFonts w:hint="eastAsia"/>
          <w:bCs/>
          <w:szCs w:val="21"/>
        </w:rPr>
        <w:t>0%</w:t>
      </w:r>
      <w:r w:rsidRPr="008943F1">
        <w:rPr>
          <w:rFonts w:hint="eastAsia"/>
          <w:bCs/>
          <w:szCs w:val="21"/>
        </w:rPr>
        <w:t>－</w:t>
      </w:r>
      <w:r w:rsidRPr="008943F1">
        <w:rPr>
          <w:rFonts w:hint="eastAsia"/>
          <w:bCs/>
          <w:szCs w:val="21"/>
        </w:rPr>
        <w:t>95%</w:t>
      </w:r>
      <w:r w:rsidR="002666B8">
        <w:rPr>
          <w:rFonts w:hint="eastAsia"/>
          <w:bCs/>
          <w:szCs w:val="21"/>
        </w:rPr>
        <w:t>；</w:t>
      </w:r>
    </w:p>
    <w:p w:rsidR="00B849D9" w:rsidRPr="008943F1" w:rsidRDefault="00B849D9" w:rsidP="00762BF7">
      <w:pPr>
        <w:spacing w:line="360" w:lineRule="auto"/>
        <w:ind w:firstLineChars="200" w:firstLine="420"/>
        <w:rPr>
          <w:bCs/>
          <w:szCs w:val="21"/>
        </w:rPr>
      </w:pPr>
      <w:r w:rsidRPr="008943F1">
        <w:rPr>
          <w:bCs/>
          <w:szCs w:val="21"/>
        </w:rPr>
        <w:t>2</w:t>
      </w:r>
      <w:r w:rsidRPr="008943F1">
        <w:rPr>
          <w:rFonts w:hint="eastAsia"/>
          <w:bCs/>
          <w:szCs w:val="21"/>
        </w:rPr>
        <w:t>、开放期内</w:t>
      </w:r>
      <w:r w:rsidRPr="008943F1">
        <w:rPr>
          <w:bCs/>
          <w:szCs w:val="21"/>
        </w:rPr>
        <w:t>保持不低于基金资产净值</w:t>
      </w:r>
      <w:r w:rsidRPr="008943F1">
        <w:rPr>
          <w:bCs/>
          <w:szCs w:val="21"/>
        </w:rPr>
        <w:t>5</w:t>
      </w:r>
      <w:r w:rsidRPr="008943F1">
        <w:rPr>
          <w:rFonts w:hint="eastAsia"/>
          <w:bCs/>
          <w:szCs w:val="21"/>
        </w:rPr>
        <w:t>%</w:t>
      </w:r>
      <w:r w:rsidRPr="008943F1">
        <w:rPr>
          <w:bCs/>
          <w:szCs w:val="21"/>
        </w:rPr>
        <w:t>的现金或者到期日在一年以内的政府债券；</w:t>
      </w:r>
    </w:p>
    <w:p w:rsidR="00B849D9" w:rsidRPr="008943F1" w:rsidRDefault="00B849D9" w:rsidP="00762BF7">
      <w:pPr>
        <w:spacing w:line="360" w:lineRule="auto"/>
        <w:ind w:firstLineChars="200" w:firstLine="420"/>
        <w:rPr>
          <w:bCs/>
          <w:szCs w:val="21"/>
        </w:rPr>
      </w:pPr>
      <w:r w:rsidRPr="008943F1">
        <w:rPr>
          <w:bCs/>
          <w:szCs w:val="21"/>
        </w:rPr>
        <w:t>3</w:t>
      </w:r>
      <w:r w:rsidRPr="008943F1">
        <w:rPr>
          <w:rFonts w:hint="eastAsia"/>
          <w:bCs/>
          <w:szCs w:val="21"/>
        </w:rPr>
        <w:t>、</w:t>
      </w:r>
      <w:r w:rsidRPr="008943F1">
        <w:rPr>
          <w:bCs/>
          <w:szCs w:val="21"/>
        </w:rPr>
        <w:t>本基金持有一家公司</w:t>
      </w:r>
      <w:r w:rsidRPr="008943F1">
        <w:rPr>
          <w:rFonts w:hint="eastAsia"/>
          <w:bCs/>
          <w:szCs w:val="21"/>
        </w:rPr>
        <w:t>发行</w:t>
      </w:r>
      <w:r w:rsidRPr="008943F1">
        <w:rPr>
          <w:bCs/>
          <w:szCs w:val="21"/>
        </w:rPr>
        <w:t>的</w:t>
      </w:r>
      <w:r w:rsidRPr="008943F1">
        <w:rPr>
          <w:rFonts w:hint="eastAsia"/>
          <w:bCs/>
          <w:szCs w:val="21"/>
        </w:rPr>
        <w:t>证券</w:t>
      </w:r>
      <w:r w:rsidRPr="008943F1">
        <w:rPr>
          <w:bCs/>
          <w:szCs w:val="21"/>
        </w:rPr>
        <w:t>，其市值不超过基金资产净值的</w:t>
      </w:r>
      <w:r w:rsidRPr="008943F1">
        <w:rPr>
          <w:bCs/>
          <w:szCs w:val="21"/>
        </w:rPr>
        <w:t>10</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4</w:t>
      </w:r>
      <w:r w:rsidRPr="008943F1">
        <w:rPr>
          <w:rFonts w:hint="eastAsia"/>
          <w:bCs/>
          <w:szCs w:val="21"/>
        </w:rPr>
        <w:t>、</w:t>
      </w:r>
      <w:r w:rsidRPr="008943F1">
        <w:rPr>
          <w:bCs/>
          <w:szCs w:val="21"/>
        </w:rPr>
        <w:t>本基金管理人管理的</w:t>
      </w:r>
      <w:r w:rsidR="003741FE" w:rsidRPr="008943F1">
        <w:rPr>
          <w:rFonts w:hint="eastAsia"/>
          <w:bCs/>
          <w:szCs w:val="21"/>
        </w:rPr>
        <w:t>且由本基金托管人托管的</w:t>
      </w:r>
      <w:r w:rsidRPr="008943F1">
        <w:rPr>
          <w:bCs/>
          <w:szCs w:val="21"/>
        </w:rPr>
        <w:t>全部基金持有一家公司发行的证券，不超过该证券的</w:t>
      </w:r>
      <w:r w:rsidRPr="008943F1">
        <w:rPr>
          <w:bCs/>
          <w:szCs w:val="21"/>
        </w:rPr>
        <w:t>10</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5</w:t>
      </w:r>
      <w:r w:rsidRPr="008943F1">
        <w:rPr>
          <w:rFonts w:hint="eastAsia"/>
          <w:bCs/>
          <w:szCs w:val="21"/>
        </w:rPr>
        <w:t>、</w:t>
      </w:r>
      <w:r w:rsidRPr="008943F1">
        <w:rPr>
          <w:bCs/>
          <w:szCs w:val="21"/>
        </w:rPr>
        <w:t>本基金持有的全部权证，其市值不得超过基金资产净值的</w:t>
      </w:r>
      <w:r w:rsidRPr="008943F1">
        <w:rPr>
          <w:bCs/>
          <w:szCs w:val="21"/>
        </w:rPr>
        <w:t>3</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6</w:t>
      </w:r>
      <w:r w:rsidRPr="008943F1">
        <w:rPr>
          <w:rFonts w:hint="eastAsia"/>
          <w:bCs/>
          <w:szCs w:val="21"/>
        </w:rPr>
        <w:t>、</w:t>
      </w:r>
      <w:r w:rsidRPr="008943F1">
        <w:rPr>
          <w:bCs/>
          <w:szCs w:val="21"/>
        </w:rPr>
        <w:t>本基金管理人管理的</w:t>
      </w:r>
      <w:r w:rsidR="003741FE" w:rsidRPr="008943F1">
        <w:rPr>
          <w:rFonts w:hint="eastAsia"/>
          <w:bCs/>
          <w:szCs w:val="21"/>
        </w:rPr>
        <w:t>且由本基金托管人托管的</w:t>
      </w:r>
      <w:r w:rsidRPr="008943F1">
        <w:rPr>
          <w:bCs/>
          <w:szCs w:val="21"/>
        </w:rPr>
        <w:t>全部基金持有的同一权证，不得超过该权证的</w:t>
      </w:r>
      <w:r w:rsidRPr="008943F1">
        <w:rPr>
          <w:bCs/>
          <w:szCs w:val="21"/>
        </w:rPr>
        <w:t>10</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7</w:t>
      </w:r>
      <w:r w:rsidRPr="008943F1">
        <w:rPr>
          <w:rFonts w:hint="eastAsia"/>
          <w:bCs/>
          <w:szCs w:val="21"/>
        </w:rPr>
        <w:t>、</w:t>
      </w:r>
      <w:r w:rsidRPr="008943F1">
        <w:rPr>
          <w:bCs/>
          <w:szCs w:val="21"/>
        </w:rPr>
        <w:t>本基金在任何交易日买入权证的总金额，不得超过上一交易日基金资产净值的</w:t>
      </w:r>
      <w:r w:rsidRPr="008943F1">
        <w:rPr>
          <w:bCs/>
          <w:szCs w:val="21"/>
        </w:rPr>
        <w:t>0.5</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lastRenderedPageBreak/>
        <w:t>8</w:t>
      </w:r>
      <w:r w:rsidRPr="008943F1">
        <w:rPr>
          <w:rFonts w:hint="eastAsia"/>
          <w:bCs/>
          <w:szCs w:val="21"/>
        </w:rPr>
        <w:t>、</w:t>
      </w:r>
      <w:r w:rsidRPr="008943F1">
        <w:rPr>
          <w:bCs/>
          <w:szCs w:val="21"/>
        </w:rPr>
        <w:t>本基金投资于同一原始权益人的各类资产支持证券的比例，不得超过基金资产净值的</w:t>
      </w:r>
      <w:r w:rsidRPr="008943F1">
        <w:rPr>
          <w:bCs/>
          <w:szCs w:val="21"/>
        </w:rPr>
        <w:t>10</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9</w:t>
      </w:r>
      <w:r w:rsidRPr="008943F1">
        <w:rPr>
          <w:rFonts w:hint="eastAsia"/>
          <w:bCs/>
          <w:szCs w:val="21"/>
        </w:rPr>
        <w:t>、</w:t>
      </w:r>
      <w:r w:rsidRPr="008943F1">
        <w:rPr>
          <w:bCs/>
          <w:szCs w:val="21"/>
        </w:rPr>
        <w:t>本基金持有的全部资产支持证券，其市值不得超过基金资产净值的</w:t>
      </w:r>
      <w:r w:rsidRPr="008943F1">
        <w:rPr>
          <w:bCs/>
          <w:szCs w:val="21"/>
        </w:rPr>
        <w:t>20</w:t>
      </w:r>
      <w:r w:rsidRPr="008943F1">
        <w:rPr>
          <w:rFonts w:hint="eastAsia"/>
          <w:bCs/>
          <w:szCs w:val="21"/>
        </w:rPr>
        <w:t>%</w:t>
      </w:r>
      <w:r w:rsidRPr="008943F1">
        <w:rPr>
          <w:rFonts w:hint="eastAsia"/>
          <w:bCs/>
          <w:szCs w:val="21"/>
        </w:rPr>
        <w:t>，中国证监会规定的特殊品种除外</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10</w:t>
      </w:r>
      <w:r w:rsidRPr="008943F1">
        <w:rPr>
          <w:rFonts w:hint="eastAsia"/>
          <w:bCs/>
          <w:szCs w:val="21"/>
        </w:rPr>
        <w:t>、</w:t>
      </w:r>
      <w:r w:rsidRPr="008943F1">
        <w:rPr>
          <w:bCs/>
          <w:szCs w:val="21"/>
        </w:rPr>
        <w:t>本基金持有的同一</w:t>
      </w:r>
      <w:r w:rsidRPr="008943F1">
        <w:rPr>
          <w:rFonts w:hint="eastAsia"/>
          <w:bCs/>
          <w:szCs w:val="21"/>
        </w:rPr>
        <w:t>（</w:t>
      </w:r>
      <w:r w:rsidRPr="008943F1">
        <w:rPr>
          <w:bCs/>
          <w:szCs w:val="21"/>
        </w:rPr>
        <w:t>指同一信用级别</w:t>
      </w:r>
      <w:r w:rsidRPr="008943F1">
        <w:rPr>
          <w:rFonts w:hint="eastAsia"/>
          <w:bCs/>
          <w:szCs w:val="21"/>
        </w:rPr>
        <w:t>）</w:t>
      </w:r>
      <w:r w:rsidRPr="008943F1">
        <w:rPr>
          <w:bCs/>
          <w:szCs w:val="21"/>
        </w:rPr>
        <w:t>资产支持证券的比例，不得超过该资产支持证券规模的</w:t>
      </w:r>
      <w:r w:rsidRPr="008943F1">
        <w:rPr>
          <w:bCs/>
          <w:szCs w:val="21"/>
        </w:rPr>
        <w:t>10</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11</w:t>
      </w:r>
      <w:r w:rsidRPr="008943F1">
        <w:rPr>
          <w:rFonts w:hint="eastAsia"/>
          <w:bCs/>
          <w:szCs w:val="21"/>
        </w:rPr>
        <w:t>、</w:t>
      </w:r>
      <w:r w:rsidRPr="008943F1">
        <w:rPr>
          <w:bCs/>
          <w:szCs w:val="21"/>
        </w:rPr>
        <w:t>本基金管理人管理的</w:t>
      </w:r>
      <w:r w:rsidR="003741FE" w:rsidRPr="008943F1">
        <w:rPr>
          <w:rFonts w:hint="eastAsia"/>
          <w:bCs/>
          <w:szCs w:val="21"/>
        </w:rPr>
        <w:t>且由本基金托管人托管的</w:t>
      </w:r>
      <w:r w:rsidRPr="008943F1">
        <w:rPr>
          <w:bCs/>
          <w:szCs w:val="21"/>
        </w:rPr>
        <w:t>全部基金投资于同一原始权益人的各类资产支持证券，不得超过其各类资产支持证券合计规模的</w:t>
      </w:r>
      <w:r w:rsidRPr="008943F1">
        <w:rPr>
          <w:bCs/>
          <w:szCs w:val="21"/>
        </w:rPr>
        <w:t>10</w:t>
      </w:r>
      <w:r w:rsidRPr="008943F1">
        <w:rPr>
          <w:rFonts w:hint="eastAsia"/>
          <w:bCs/>
          <w:szCs w:val="21"/>
        </w:rPr>
        <w:t>%</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12</w:t>
      </w:r>
      <w:r w:rsidRPr="008943F1">
        <w:rPr>
          <w:rFonts w:hint="eastAsia"/>
          <w:bCs/>
          <w:szCs w:val="21"/>
        </w:rPr>
        <w:t>、</w:t>
      </w:r>
      <w:r w:rsidRPr="008943F1">
        <w:rPr>
          <w:bCs/>
          <w:szCs w:val="21"/>
        </w:rPr>
        <w:t>本基金应投资于信用级别评级为</w:t>
      </w:r>
      <w:r w:rsidRPr="008943F1">
        <w:rPr>
          <w:bCs/>
          <w:szCs w:val="21"/>
        </w:rPr>
        <w:t>BBB</w:t>
      </w:r>
      <w:r w:rsidRPr="008943F1">
        <w:rPr>
          <w:bCs/>
          <w:szCs w:val="21"/>
        </w:rPr>
        <w:t>以上</w:t>
      </w:r>
      <w:r w:rsidRPr="008943F1">
        <w:rPr>
          <w:rFonts w:hint="eastAsia"/>
          <w:bCs/>
          <w:szCs w:val="21"/>
        </w:rPr>
        <w:t>（</w:t>
      </w:r>
      <w:r w:rsidRPr="008943F1">
        <w:rPr>
          <w:bCs/>
          <w:szCs w:val="21"/>
        </w:rPr>
        <w:t>含</w:t>
      </w:r>
      <w:r w:rsidRPr="008943F1">
        <w:rPr>
          <w:bCs/>
          <w:szCs w:val="21"/>
        </w:rPr>
        <w:t>BBB</w:t>
      </w:r>
      <w:r w:rsidRPr="008943F1">
        <w:rPr>
          <w:rFonts w:hint="eastAsia"/>
          <w:bCs/>
          <w:szCs w:val="21"/>
        </w:rPr>
        <w:t>）</w:t>
      </w:r>
      <w:r w:rsidRPr="008943F1">
        <w:rPr>
          <w:bCs/>
          <w:szCs w:val="21"/>
        </w:rPr>
        <w:t>的资产支持证券。基金持有资产支持证券期间，如果其信用等级下降、不再符合投资标准，应在评级报告发布之日起</w:t>
      </w:r>
      <w:r w:rsidRPr="008943F1">
        <w:rPr>
          <w:bCs/>
          <w:szCs w:val="21"/>
        </w:rPr>
        <w:t>3</w:t>
      </w:r>
      <w:r w:rsidRPr="008943F1">
        <w:rPr>
          <w:bCs/>
          <w:szCs w:val="21"/>
        </w:rPr>
        <w:t>个月内予以全部卖出；</w:t>
      </w:r>
    </w:p>
    <w:p w:rsidR="00B849D9" w:rsidRPr="008943F1" w:rsidRDefault="00B849D9" w:rsidP="00762BF7">
      <w:pPr>
        <w:spacing w:line="360" w:lineRule="auto"/>
        <w:ind w:firstLineChars="200" w:firstLine="420"/>
        <w:rPr>
          <w:bCs/>
          <w:szCs w:val="21"/>
        </w:rPr>
      </w:pPr>
      <w:r w:rsidRPr="008943F1">
        <w:rPr>
          <w:bCs/>
          <w:szCs w:val="21"/>
        </w:rPr>
        <w:t>13</w:t>
      </w:r>
      <w:r w:rsidRPr="008943F1">
        <w:rPr>
          <w:rFonts w:hint="eastAsia"/>
          <w:bCs/>
          <w:szCs w:val="21"/>
        </w:rPr>
        <w:t>、</w:t>
      </w:r>
      <w:r w:rsidRPr="008943F1">
        <w:rPr>
          <w:bCs/>
          <w:szCs w:val="21"/>
        </w:rPr>
        <w:t>基金财产参与股票发行申购，本基金所申报的金额不超过本基金的总资产，本基金所申报的股票数量不超过拟发行股票公司本次发行股票的总量；</w:t>
      </w:r>
    </w:p>
    <w:p w:rsidR="00B849D9" w:rsidRPr="008943F1" w:rsidRDefault="00B849D9" w:rsidP="00762BF7">
      <w:pPr>
        <w:spacing w:line="360" w:lineRule="auto"/>
        <w:ind w:firstLineChars="200" w:firstLine="420"/>
        <w:rPr>
          <w:bCs/>
          <w:szCs w:val="21"/>
        </w:rPr>
      </w:pPr>
      <w:r w:rsidRPr="008943F1">
        <w:rPr>
          <w:bCs/>
          <w:szCs w:val="21"/>
        </w:rPr>
        <w:t>14</w:t>
      </w:r>
      <w:r w:rsidRPr="008943F1">
        <w:rPr>
          <w:rFonts w:hint="eastAsia"/>
          <w:bCs/>
          <w:szCs w:val="21"/>
        </w:rPr>
        <w:t>、</w:t>
      </w:r>
      <w:r w:rsidRPr="008943F1">
        <w:rPr>
          <w:bCs/>
          <w:szCs w:val="21"/>
        </w:rPr>
        <w:t>本基金进入全国银行间同业市场进行债券回购的资金余额不得超过基金资产净值的</w:t>
      </w:r>
      <w:r w:rsidRPr="008943F1">
        <w:rPr>
          <w:bCs/>
          <w:szCs w:val="21"/>
        </w:rPr>
        <w:t>40%</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15</w:t>
      </w:r>
      <w:r w:rsidRPr="008943F1">
        <w:rPr>
          <w:rFonts w:hint="eastAsia"/>
          <w:bCs/>
          <w:szCs w:val="21"/>
        </w:rPr>
        <w:t>、本基金持有单只中小企业私募债券，其市值不得超过基金资产净值的</w:t>
      </w:r>
      <w:r w:rsidRPr="008943F1">
        <w:rPr>
          <w:rFonts w:hint="eastAsia"/>
          <w:bCs/>
          <w:szCs w:val="21"/>
        </w:rPr>
        <w:t>10%</w:t>
      </w:r>
      <w:r w:rsidRPr="008943F1">
        <w:rPr>
          <w:rFonts w:hint="eastAsia"/>
          <w:bCs/>
          <w:szCs w:val="21"/>
        </w:rPr>
        <w:t>；</w:t>
      </w:r>
    </w:p>
    <w:p w:rsidR="003741FE" w:rsidRPr="008943F1" w:rsidRDefault="003741FE" w:rsidP="00762BF7">
      <w:pPr>
        <w:spacing w:line="360" w:lineRule="auto"/>
        <w:ind w:firstLineChars="200" w:firstLine="420"/>
        <w:rPr>
          <w:bCs/>
          <w:szCs w:val="21"/>
        </w:rPr>
      </w:pPr>
      <w:r w:rsidRPr="003A4597">
        <w:rPr>
          <w:bCs/>
          <w:szCs w:val="21"/>
        </w:rPr>
        <w:t>16</w:t>
      </w:r>
      <w:r w:rsidRPr="003A4597">
        <w:rPr>
          <w:rFonts w:hint="eastAsia"/>
          <w:bCs/>
          <w:szCs w:val="21"/>
        </w:rPr>
        <w:t>、本基金持有的所有流通受限证券，其公允价值不得超过本基金资产净值的</w:t>
      </w:r>
      <w:r w:rsidR="00135250" w:rsidRPr="008943F1">
        <w:rPr>
          <w:rFonts w:hint="eastAsia"/>
          <w:bCs/>
          <w:szCs w:val="21"/>
        </w:rPr>
        <w:t>50</w:t>
      </w:r>
      <w:r w:rsidRPr="003A4597">
        <w:rPr>
          <w:bCs/>
          <w:szCs w:val="21"/>
        </w:rPr>
        <w:t>%</w:t>
      </w:r>
      <w:r w:rsidRPr="003A4597">
        <w:rPr>
          <w:rFonts w:hint="eastAsia"/>
          <w:bCs/>
          <w:szCs w:val="21"/>
        </w:rPr>
        <w:t>；本基金持有的同一流通受限证券，其公允价值不得超过本基金资产净值的</w:t>
      </w:r>
      <w:r w:rsidR="00135250" w:rsidRPr="008943F1">
        <w:rPr>
          <w:rFonts w:hint="eastAsia"/>
          <w:bCs/>
          <w:szCs w:val="21"/>
        </w:rPr>
        <w:t>10</w:t>
      </w:r>
      <w:r w:rsidRPr="003A4597">
        <w:rPr>
          <w:bCs/>
          <w:szCs w:val="21"/>
        </w:rPr>
        <w:t>%</w:t>
      </w:r>
      <w:r w:rsidRPr="003A4597">
        <w:rPr>
          <w:rFonts w:hint="eastAsia"/>
          <w:bCs/>
          <w:szCs w:val="21"/>
        </w:rPr>
        <w:t>；</w:t>
      </w:r>
    </w:p>
    <w:p w:rsidR="00B849D9" w:rsidRPr="008943F1" w:rsidRDefault="00B849D9" w:rsidP="00762BF7">
      <w:pPr>
        <w:spacing w:line="360" w:lineRule="auto"/>
        <w:ind w:firstLineChars="200" w:firstLine="420"/>
        <w:rPr>
          <w:bCs/>
          <w:szCs w:val="21"/>
        </w:rPr>
      </w:pPr>
      <w:r w:rsidRPr="008943F1">
        <w:rPr>
          <w:rFonts w:hint="eastAsia"/>
          <w:bCs/>
          <w:szCs w:val="21"/>
        </w:rPr>
        <w:t>1</w:t>
      </w:r>
      <w:r w:rsidR="003741FE" w:rsidRPr="008943F1">
        <w:rPr>
          <w:rFonts w:hint="eastAsia"/>
          <w:bCs/>
          <w:szCs w:val="21"/>
        </w:rPr>
        <w:t>7</w:t>
      </w:r>
      <w:r w:rsidRPr="008943F1">
        <w:rPr>
          <w:rFonts w:hint="eastAsia"/>
          <w:bCs/>
          <w:szCs w:val="21"/>
        </w:rPr>
        <w:t>、在封闭期内，本基金总资产不得超过基金净资产的</w:t>
      </w:r>
      <w:r w:rsidRPr="008943F1">
        <w:rPr>
          <w:rFonts w:hint="eastAsia"/>
          <w:bCs/>
          <w:szCs w:val="21"/>
        </w:rPr>
        <w:t>200%</w:t>
      </w:r>
      <w:r w:rsidRPr="008943F1">
        <w:rPr>
          <w:rFonts w:hint="eastAsia"/>
          <w:bCs/>
          <w:szCs w:val="21"/>
        </w:rPr>
        <w:t>；在开放期内，本基金总资产不得超过基金净资产的</w:t>
      </w:r>
      <w:r w:rsidRPr="008943F1">
        <w:rPr>
          <w:rFonts w:hint="eastAsia"/>
          <w:bCs/>
          <w:szCs w:val="21"/>
        </w:rPr>
        <w:t>140%</w:t>
      </w:r>
      <w:r w:rsidRPr="008943F1">
        <w:rPr>
          <w:rFonts w:hint="eastAsia"/>
          <w:bCs/>
          <w:szCs w:val="21"/>
        </w:rPr>
        <w:t>；</w:t>
      </w:r>
    </w:p>
    <w:p w:rsidR="00B849D9" w:rsidRPr="008943F1" w:rsidRDefault="00B849D9" w:rsidP="00762BF7">
      <w:pPr>
        <w:spacing w:line="360" w:lineRule="auto"/>
        <w:ind w:firstLineChars="200" w:firstLine="420"/>
        <w:rPr>
          <w:bCs/>
          <w:szCs w:val="21"/>
        </w:rPr>
      </w:pPr>
      <w:r w:rsidRPr="008943F1">
        <w:rPr>
          <w:bCs/>
          <w:szCs w:val="21"/>
        </w:rPr>
        <w:t>1</w:t>
      </w:r>
      <w:r w:rsidR="003741FE" w:rsidRPr="008943F1">
        <w:rPr>
          <w:rFonts w:hint="eastAsia"/>
          <w:bCs/>
          <w:szCs w:val="21"/>
        </w:rPr>
        <w:t>8</w:t>
      </w:r>
      <w:r w:rsidRPr="008943F1">
        <w:rPr>
          <w:rFonts w:hint="eastAsia"/>
          <w:bCs/>
          <w:szCs w:val="21"/>
        </w:rPr>
        <w:t>、</w:t>
      </w:r>
      <w:r w:rsidRPr="008943F1">
        <w:rPr>
          <w:bCs/>
          <w:szCs w:val="21"/>
        </w:rPr>
        <w:t>法律法规及中国证监会规定的和《基金合同》约定的其他投资限制。</w:t>
      </w:r>
    </w:p>
    <w:p w:rsidR="00B849D9" w:rsidRPr="008943F1" w:rsidRDefault="00B849D9" w:rsidP="00762BF7">
      <w:pPr>
        <w:spacing w:line="360" w:lineRule="auto"/>
        <w:ind w:firstLineChars="200" w:firstLine="420"/>
        <w:rPr>
          <w:bCs/>
          <w:szCs w:val="21"/>
        </w:rPr>
      </w:pPr>
      <w:r w:rsidRPr="008943F1">
        <w:rPr>
          <w:bCs/>
          <w:szCs w:val="21"/>
        </w:rPr>
        <w:t>因证券市场波动、上市公司合并、基金规模变动等基金管理人之外的因素致使基金投资比例不符合上述规定投资比例的，基金管理人应当在</w:t>
      </w:r>
      <w:r w:rsidRPr="008943F1">
        <w:rPr>
          <w:bCs/>
          <w:szCs w:val="21"/>
        </w:rPr>
        <w:t>10</w:t>
      </w:r>
      <w:r w:rsidRPr="008943F1">
        <w:rPr>
          <w:bCs/>
          <w:szCs w:val="21"/>
        </w:rPr>
        <w:t>个交易日内进行调整</w:t>
      </w:r>
      <w:r w:rsidRPr="008943F1">
        <w:rPr>
          <w:rFonts w:hint="eastAsia"/>
          <w:bCs/>
          <w:szCs w:val="21"/>
        </w:rPr>
        <w:t>，但中国证监会规定的特殊情形除外</w:t>
      </w:r>
      <w:r w:rsidRPr="008943F1">
        <w:rPr>
          <w:bCs/>
          <w:szCs w:val="21"/>
        </w:rPr>
        <w:t>。</w:t>
      </w:r>
    </w:p>
    <w:p w:rsidR="00B849D9" w:rsidRPr="008943F1" w:rsidRDefault="00B849D9" w:rsidP="00762BF7">
      <w:pPr>
        <w:spacing w:line="360" w:lineRule="auto"/>
        <w:ind w:firstLineChars="200" w:firstLine="420"/>
        <w:rPr>
          <w:bCs/>
          <w:szCs w:val="21"/>
        </w:rPr>
      </w:pPr>
      <w:r w:rsidRPr="008943F1">
        <w:rPr>
          <w:bCs/>
          <w:szCs w:val="21"/>
        </w:rPr>
        <w:t>基金管理人应当自基金合同生效之日起</w:t>
      </w:r>
      <w:r w:rsidRPr="008943F1">
        <w:rPr>
          <w:rFonts w:hint="eastAsia"/>
          <w:bCs/>
          <w:szCs w:val="21"/>
        </w:rPr>
        <w:t>6</w:t>
      </w:r>
      <w:r w:rsidRPr="008943F1">
        <w:rPr>
          <w:bCs/>
          <w:szCs w:val="21"/>
        </w:rPr>
        <w:t>个月内使基金的投资组合比例符合基金合同的有关约定。</w:t>
      </w:r>
      <w:r w:rsidRPr="008943F1">
        <w:rPr>
          <w:rFonts w:hint="eastAsia"/>
          <w:bCs/>
          <w:szCs w:val="21"/>
        </w:rPr>
        <w:t>期间，本基金的投资范围、投资策略应当符合基金合同的约定。</w:t>
      </w:r>
      <w:r w:rsidRPr="008943F1">
        <w:rPr>
          <w:bCs/>
          <w:szCs w:val="21"/>
        </w:rPr>
        <w:t>基金托管人对基金的投资的监督与检查自本基金合同生效之日起开始。</w:t>
      </w:r>
    </w:p>
    <w:p w:rsidR="00B849D9" w:rsidRPr="008943F1" w:rsidRDefault="00B849D9" w:rsidP="00762BF7">
      <w:pPr>
        <w:spacing w:line="360" w:lineRule="auto"/>
        <w:ind w:firstLineChars="200" w:firstLine="420"/>
        <w:rPr>
          <w:bCs/>
          <w:szCs w:val="21"/>
        </w:rPr>
      </w:pPr>
      <w:r w:rsidRPr="008943F1">
        <w:rPr>
          <w:bCs/>
          <w:szCs w:val="21"/>
        </w:rPr>
        <w:t>法律法规或监管部门取消上述限制，如适用于本基金，基金管理人在履行适当程序后，则本基金投资不再受相关限制。</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（三）基金托管人</w:t>
      </w:r>
      <w:bookmarkStart w:id="5" w:name="OLE_LINK1"/>
      <w:r w:rsidRPr="008943F1">
        <w:rPr>
          <w:rFonts w:asciiTheme="minorEastAsia" w:hAnsiTheme="minorEastAsia" w:cs="Arial" w:hint="eastAsia"/>
          <w:szCs w:val="21"/>
        </w:rPr>
        <w:t>根据有关法律法规的规定及《基金合同》的约定，</w:t>
      </w:r>
      <w:bookmarkEnd w:id="5"/>
      <w:r w:rsidRPr="008943F1">
        <w:rPr>
          <w:rFonts w:asciiTheme="minorEastAsia" w:hAnsiTheme="minorEastAsia" w:cs="Arial" w:hint="eastAsia"/>
          <w:szCs w:val="21"/>
        </w:rPr>
        <w:t>对本托管协议第十</w:t>
      </w:r>
      <w:r w:rsidRPr="008943F1">
        <w:rPr>
          <w:rFonts w:asciiTheme="minorEastAsia" w:hAnsiTheme="minorEastAsia" w:cs="Arial" w:hint="eastAsia"/>
          <w:szCs w:val="21"/>
        </w:rPr>
        <w:lastRenderedPageBreak/>
        <w:t>五条第九款基金投资禁止行为通过事后监督方式进行监督。</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color w:val="000000"/>
          <w:szCs w:val="21"/>
        </w:rPr>
        <w:t>基金管理人负责对交易对手的资信控制，按银行间债券市场的交易规则进行交易，并</w:t>
      </w:r>
      <w:r w:rsidRPr="008943F1">
        <w:rPr>
          <w:rFonts w:asciiTheme="minorEastAsia" w:hAnsiTheme="minorEastAsia" w:hint="eastAsia"/>
          <w:szCs w:val="21"/>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943F1">
        <w:rPr>
          <w:rFonts w:asciiTheme="minorEastAsia" w:hAnsiTheme="minorEastAsia" w:cs="Arial" w:hint="eastAsia"/>
          <w:color w:val="000000"/>
          <w:szCs w:val="21"/>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（五）基金托管人根据有关法律法规的规定及《基金合同》的约定，对基金管理人投资流通受限证券进行监督。</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hint="eastAsia"/>
          <w:szCs w:val="21"/>
        </w:rPr>
        <w:t>基金管理人投资流通受限证券，应事先根据中国证监会相关规定，明确基金投资流通受限证券的比例，</w:t>
      </w:r>
      <w:r w:rsidRPr="008943F1">
        <w:rPr>
          <w:rFonts w:asciiTheme="minorEastAsia" w:hAnsiTheme="minorEastAsia" w:cs="Arial" w:hint="eastAsia"/>
          <w:szCs w:val="21"/>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1.本基金</w:t>
      </w:r>
      <w:r w:rsidRPr="008943F1">
        <w:rPr>
          <w:rFonts w:asciiTheme="minorEastAsia" w:hAnsiTheme="minorEastAsia" w:hint="eastAsia"/>
          <w:szCs w:val="21"/>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8943F1">
        <w:rPr>
          <w:rFonts w:asciiTheme="minorEastAsia" w:hAnsiTheme="minorEastAsia" w:hint="eastAsia"/>
          <w:szCs w:val="21"/>
        </w:rPr>
        <w:t>券</w:t>
      </w:r>
      <w:proofErr w:type="gramEnd"/>
      <w:r w:rsidRPr="008943F1">
        <w:rPr>
          <w:rFonts w:asciiTheme="minorEastAsia" w:hAnsiTheme="minorEastAsia" w:hint="eastAsia"/>
          <w:szCs w:val="21"/>
        </w:rPr>
        <w:t>等流通受限证券。本基金不投资有</w:t>
      </w:r>
      <w:proofErr w:type="gramStart"/>
      <w:r w:rsidRPr="008943F1">
        <w:rPr>
          <w:rFonts w:asciiTheme="minorEastAsia" w:hAnsiTheme="minorEastAsia" w:hint="eastAsia"/>
          <w:szCs w:val="21"/>
        </w:rPr>
        <w:t>锁定期但锁定</w:t>
      </w:r>
      <w:proofErr w:type="gramEnd"/>
      <w:r w:rsidRPr="008943F1">
        <w:rPr>
          <w:rFonts w:asciiTheme="minorEastAsia" w:hAnsiTheme="minorEastAsia" w:hint="eastAsia"/>
          <w:szCs w:val="21"/>
        </w:rPr>
        <w:t>期不明确的证券。</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本基金</w:t>
      </w:r>
      <w:r w:rsidRPr="008943F1">
        <w:rPr>
          <w:rFonts w:asciiTheme="minorEastAsia" w:hAnsiTheme="minorEastAsia" w:hint="eastAsia"/>
          <w:szCs w:val="21"/>
        </w:rPr>
        <w:t>投资的流通受限证券限于可由中国证券登记结算有限责任公司或中央国债登记结算有限责任公司负责登记和存管，并可在证券交易所或全国银行间债券市场交易的证券。</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本基金</w:t>
      </w:r>
      <w:r w:rsidRPr="008943F1">
        <w:rPr>
          <w:rFonts w:asciiTheme="minorEastAsia" w:hAnsiTheme="minorEastAsia" w:hint="eastAsia"/>
          <w:szCs w:val="21"/>
        </w:rPr>
        <w:t>投资的流通受限证券应保证登记存管在本基金名下，基金管理人负责相关工作的</w:t>
      </w:r>
      <w:r w:rsidRPr="008943F1">
        <w:rPr>
          <w:rFonts w:asciiTheme="minorEastAsia" w:hAnsiTheme="minorEastAsia" w:hint="eastAsia"/>
          <w:szCs w:val="21"/>
        </w:rPr>
        <w:lastRenderedPageBreak/>
        <w:t>落实和协调，并确保基金托管人能够正常查询。因基金管理</w:t>
      </w:r>
      <w:proofErr w:type="gramStart"/>
      <w:r w:rsidRPr="008943F1">
        <w:rPr>
          <w:rFonts w:asciiTheme="minorEastAsia" w:hAnsiTheme="minorEastAsia" w:hint="eastAsia"/>
          <w:szCs w:val="21"/>
        </w:rPr>
        <w:t>人原因</w:t>
      </w:r>
      <w:proofErr w:type="gramEnd"/>
      <w:r w:rsidRPr="008943F1">
        <w:rPr>
          <w:rFonts w:asciiTheme="minorEastAsia" w:hAnsiTheme="minorEastAsia" w:hint="eastAsia"/>
          <w:szCs w:val="21"/>
        </w:rPr>
        <w:t>产生的流通受限证券登记存管问题，造成基金托管人无法安全保管本基金资产的责任与损失，及因流通受限证券存管直接影响本基金安全的责任及损失，由基金管理人承担。</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本基金</w:t>
      </w:r>
      <w:r w:rsidRPr="008943F1">
        <w:rPr>
          <w:rFonts w:asciiTheme="minorEastAsia" w:hAnsiTheme="minorEastAsia" w:hint="eastAsia"/>
          <w:szCs w:val="21"/>
        </w:rPr>
        <w:t>投资流通受限证券，不得预付任何形式的保证金。</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2.</w:t>
      </w:r>
      <w:r w:rsidRPr="008943F1">
        <w:rPr>
          <w:rFonts w:asciiTheme="minorEastAsia" w:hAnsiTheme="minorEastAsia" w:hint="eastAsia"/>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8943F1">
        <w:rPr>
          <w:rFonts w:asciiTheme="minorEastAsia" w:hAnsiTheme="minorEastAsia" w:cs="Arial" w:hint="eastAsia"/>
          <w:szCs w:val="21"/>
        </w:rPr>
        <w:t>基金管理人应在首次投资流通受限证券前向基金托管人提供</w:t>
      </w:r>
      <w:r w:rsidRPr="008943F1">
        <w:rPr>
          <w:rFonts w:asciiTheme="minorEastAsia" w:hAnsiTheme="minorEastAsia" w:hint="eastAsia"/>
          <w:szCs w:val="21"/>
        </w:rPr>
        <w:t>基金投资非公开发行股票相关流动性风险处置预案。</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8943F1">
        <w:rPr>
          <w:rFonts w:asciiTheme="minorEastAsia" w:hAnsiTheme="minorEastAsia" w:hint="eastAsia"/>
          <w:szCs w:val="21"/>
        </w:rPr>
        <w:t>人原因</w:t>
      </w:r>
      <w:proofErr w:type="gramEnd"/>
      <w:r w:rsidRPr="008943F1">
        <w:rPr>
          <w:rFonts w:asciiTheme="minorEastAsia" w:hAnsiTheme="minorEastAsia" w:hint="eastAsia"/>
          <w:szCs w:val="21"/>
        </w:rPr>
        <w:t>导致本基金出现损失致使基金托管人承担连带赔偿责任的，基金管理人应赔偿基金托管人由此遭受的损失。</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3.</w:t>
      </w:r>
      <w:r w:rsidRPr="008943F1">
        <w:rPr>
          <w:rFonts w:asciiTheme="minorEastAsia" w:hAnsiTheme="minorEastAsia" w:hint="eastAsia"/>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（1）中国证监会批准发行非公开发行股票的批准文件。</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（2）非公开发行股票有关发行数量、发行价格、锁定期等发行资料。</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（3）非公开发行股票发行人与中国证券登记结算有限责任公司或中央国债登记结算有限责任公司签订的证券登记及服务协议。</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hint="eastAsia"/>
          <w:szCs w:val="21"/>
        </w:rPr>
        <w:t>（4）基金拟认购的数量、价格、总成本、账面价值。</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4.</w:t>
      </w:r>
      <w:r w:rsidRPr="008943F1">
        <w:rPr>
          <w:rFonts w:asciiTheme="minorEastAsia" w:hAnsiTheme="minorEastAsia" w:hint="eastAsia"/>
          <w:szCs w:val="21"/>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本基金有关投资流通受限证券比例如违反有关限制规定，在合理期限内未能进行及时调整，基金管理人应在两个工作日内编制临时报告书，予以公告。</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5.</w:t>
      </w:r>
      <w:r w:rsidRPr="008943F1">
        <w:rPr>
          <w:rFonts w:asciiTheme="minorEastAsia" w:hAnsiTheme="minorEastAsia" w:hint="eastAsia"/>
          <w:szCs w:val="21"/>
        </w:rPr>
        <w:t>基金托管人根据有关规定有权对基金管理人进行以下事项监督：</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（1）本基金投资流通受限证券时的法律法规遵守情况。</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（2）在基金投资流通受限证券管理工作方面有关制度、流动性风险处置预案的建立与完</w:t>
      </w:r>
      <w:r w:rsidRPr="008943F1">
        <w:rPr>
          <w:rFonts w:asciiTheme="minorEastAsia" w:hAnsiTheme="minorEastAsia" w:hint="eastAsia"/>
          <w:szCs w:val="21"/>
        </w:rPr>
        <w:lastRenderedPageBreak/>
        <w:t>善情况。</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（3）有关比例限制的执行情况。</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（4）信息披露情况。</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6.</w:t>
      </w:r>
      <w:r w:rsidRPr="008943F1">
        <w:rPr>
          <w:rFonts w:asciiTheme="minorEastAsia" w:hAnsiTheme="minorEastAsia" w:hint="eastAsia"/>
          <w:szCs w:val="21"/>
        </w:rPr>
        <w:t>相关法律法规对基金投资流通受限证券有新规定的，从其规定。</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6E7E82" w:rsidRPr="008943F1" w:rsidRDefault="006E7E82" w:rsidP="00762BF7">
      <w:pPr>
        <w:spacing w:line="360" w:lineRule="auto"/>
        <w:ind w:firstLineChars="200" w:firstLine="420"/>
        <w:rPr>
          <w:rFonts w:asciiTheme="minorEastAsia" w:hAnsiTheme="minorEastAsia"/>
          <w:szCs w:val="21"/>
        </w:rPr>
      </w:pPr>
      <w:r w:rsidRPr="008943F1">
        <w:rPr>
          <w:rFonts w:asciiTheme="minorEastAsia" w:hAnsiTheme="minorEastAsia" w:hint="eastAsia"/>
          <w:szCs w:val="21"/>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8943F1">
        <w:rPr>
          <w:rFonts w:asciiTheme="minorEastAsia" w:hAnsiTheme="minorEastAsia" w:hint="eastAsia"/>
          <w:szCs w:val="21"/>
        </w:rPr>
        <w:t>人原因</w:t>
      </w:r>
      <w:proofErr w:type="gramEnd"/>
      <w:r w:rsidRPr="008943F1">
        <w:rPr>
          <w:rFonts w:asciiTheme="minorEastAsia" w:hAnsiTheme="minorEastAsia" w:hint="eastAsia"/>
          <w:szCs w:val="21"/>
        </w:rPr>
        <w:t>导致基金出现损失致使基金托管人承担连带赔偿责任的，基金管理人应赔偿基金托管人由此遭受的损失。</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（十）</w:t>
      </w:r>
      <w:proofErr w:type="gramStart"/>
      <w:r w:rsidRPr="008943F1">
        <w:rPr>
          <w:rFonts w:asciiTheme="minorEastAsia" w:hAnsiTheme="minorEastAsia" w:cs="Arial" w:hint="eastAsia"/>
          <w:szCs w:val="21"/>
        </w:rPr>
        <w:t>若基金</w:t>
      </w:r>
      <w:proofErr w:type="gramEnd"/>
      <w:r w:rsidRPr="008943F1">
        <w:rPr>
          <w:rFonts w:asciiTheme="minorEastAsia" w:hAnsiTheme="minorEastAsia" w:cs="Arial" w:hint="eastAsia"/>
          <w:szCs w:val="21"/>
        </w:rPr>
        <w:t>托管人发现基金管理人依据交易程序已经生效的指令违反法律、行政法规和其他有关规定，或者违反《基金合同》约定的，应当立即通知基金管理人，由此造成的损失由基金管理人承担。</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w:t>
      </w:r>
      <w:r w:rsidRPr="008943F1">
        <w:rPr>
          <w:rFonts w:asciiTheme="minorEastAsia" w:hAnsiTheme="minorEastAsia" w:cs="Arial" w:hint="eastAsia"/>
          <w:szCs w:val="21"/>
        </w:rPr>
        <w:lastRenderedPageBreak/>
        <w:t>情节严重或经基金托管人提出警告仍不改正的，基金托管人应报告中国证监会。</w:t>
      </w:r>
    </w:p>
    <w:p w:rsidR="006E7E82" w:rsidRPr="008943F1" w:rsidRDefault="006E7E82" w:rsidP="00762BF7">
      <w:pPr>
        <w:spacing w:line="360" w:lineRule="auto"/>
        <w:rPr>
          <w:rFonts w:asciiTheme="minorEastAsia" w:hAnsiTheme="minorEastAsia"/>
          <w:szCs w:val="21"/>
        </w:rPr>
      </w:pPr>
    </w:p>
    <w:p w:rsidR="00B849D9" w:rsidRPr="008943F1" w:rsidRDefault="00B849D9"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8943F1">
        <w:rPr>
          <w:rFonts w:asciiTheme="minorEastAsia" w:hAnsiTheme="minorEastAsia" w:cs="Arial" w:hint="eastAsia"/>
          <w:szCs w:val="21"/>
        </w:rPr>
        <w:t>供基金</w:t>
      </w:r>
      <w:proofErr w:type="gramEnd"/>
      <w:r w:rsidRPr="008943F1">
        <w:rPr>
          <w:rFonts w:asciiTheme="minorEastAsia" w:hAnsiTheme="minorEastAsia" w:cs="Arial" w:hint="eastAsia"/>
          <w:szCs w:val="21"/>
        </w:rPr>
        <w:t>管理人核查托管财产的完整性和真实性，在规定时间内答复基金管理人并改正。</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E7E82" w:rsidRPr="008943F1" w:rsidRDefault="006E7E82" w:rsidP="00762BF7">
      <w:pPr>
        <w:spacing w:line="360" w:lineRule="auto"/>
        <w:rPr>
          <w:rFonts w:asciiTheme="minorEastAsia" w:hAnsiTheme="minorEastAsia"/>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（一）基金财产保管的原则</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1.基金财产应独立于基金管理人、基金托管人的固有财产。</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2.基金托管人应安全保管基金财产。</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3.基金托管人按照规定开设基金财产的资金账户和证券账户。</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4.基金托管人对所托管的不同基金财产分别设置账户，确保基金财产的完整与独立。</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5.基金托管人按照《基金合同》和本协议的约定保管基金财产，如有特殊情况双方可另行协商解决。基金</w:t>
      </w:r>
      <w:r w:rsidRPr="008943F1">
        <w:rPr>
          <w:rFonts w:asciiTheme="minorEastAsia" w:hAnsiTheme="minorEastAsia" w:hint="eastAsia"/>
          <w:szCs w:val="21"/>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7.除依据法律法规和《基金合同》的规定外，基金托管人不得委托第三人托管基金财产。</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（二）基金募集期间及募集资金的验资</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1.基金募集期间募集的资金应存于基金管理人在基金托管人的营业机构开立的“基金募集专户”。该账户由基金管理人开立并管理。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w:t>
      </w:r>
      <w:proofErr w:type="gramStart"/>
      <w:r w:rsidRPr="008943F1">
        <w:rPr>
          <w:rFonts w:asciiTheme="minorEastAsia" w:hAnsiTheme="minorEastAsia" w:cs="Arial" w:hint="eastAsia"/>
          <w:szCs w:val="21"/>
        </w:rPr>
        <w:t>若基金</w:t>
      </w:r>
      <w:proofErr w:type="gramEnd"/>
      <w:r w:rsidRPr="008943F1">
        <w:rPr>
          <w:rFonts w:asciiTheme="minorEastAsia" w:hAnsiTheme="minorEastAsia" w:cs="Arial" w:hint="eastAsia"/>
          <w:szCs w:val="21"/>
        </w:rPr>
        <w:t>募集期限届满，未能达到《基金合同》生效的条件，由基金管理人按规定办理退款等事宜。</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（三）基金银行账户的开立和管理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1.基金托管人可以基金的名义在其营业机构开立基金的银行账户，并根据基金管理人合法合</w:t>
      </w:r>
      <w:proofErr w:type="gramStart"/>
      <w:r w:rsidRPr="008943F1">
        <w:rPr>
          <w:rFonts w:asciiTheme="minorEastAsia" w:hAnsiTheme="minorEastAsia" w:cs="Arial" w:hint="eastAsia"/>
          <w:szCs w:val="21"/>
        </w:rPr>
        <w:t>规</w:t>
      </w:r>
      <w:proofErr w:type="gramEnd"/>
      <w:r w:rsidRPr="008943F1">
        <w:rPr>
          <w:rFonts w:asciiTheme="minorEastAsia" w:hAnsiTheme="minorEastAsia" w:cs="Arial" w:hint="eastAsia"/>
          <w:szCs w:val="21"/>
        </w:rPr>
        <w:t>的指令办理资金收付。本基金的银行预留印鉴由基金托管人保管和使用。</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2.基金银行账户的开立和使用，限于满足开展本基金业务的需要。基金托管人和基金管理人不得假借本基金的名义开立任何其他银行账户；亦不得使用基金的任何账户进行本基金业务以外的活动。</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3.基金银行账户的开立和管理应符合银行业监督管理机构的有关规定。</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4.在符合法律法规规定的条件下，基金托管人可以通过基金托管人专用账户办理基金资</w:t>
      </w:r>
      <w:r w:rsidRPr="008943F1">
        <w:rPr>
          <w:rFonts w:asciiTheme="minorEastAsia" w:hAnsiTheme="minorEastAsia" w:cs="Arial" w:hint="eastAsia"/>
          <w:szCs w:val="21"/>
        </w:rPr>
        <w:lastRenderedPageBreak/>
        <w:t>产的支付。</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（四）基金证券账户和结算备付金账户的开立和管理</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1.基金托管人在中国证券登记结算有限责任公司为基金开立基金托管人与基金联名的证券账户。</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3.基金证券账户的开立和证券账户卡的保管由基金托管人负责，账户资产的管理和运用由基金管理人负责。</w:t>
      </w:r>
    </w:p>
    <w:p w:rsidR="003741FE" w:rsidRPr="008943F1" w:rsidRDefault="003741FE"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证券账户开户费由基金管理人先行垫付</w:t>
      </w:r>
      <w:r w:rsidRPr="008943F1">
        <w:rPr>
          <w:rFonts w:asciiTheme="minorEastAsia" w:hAnsiTheme="minorEastAsia" w:cs="Arial"/>
          <w:szCs w:val="21"/>
        </w:rPr>
        <w:t>,待托管产品启始运营后,基金管理人可向基金托管人发送划款指令,将代垫开户费从本基金托管资金账户中扣还基金管理</w:t>
      </w:r>
      <w:r w:rsidRPr="008943F1">
        <w:rPr>
          <w:rFonts w:asciiTheme="minorEastAsia" w:hAnsiTheme="minorEastAsia" w:cs="Arial" w:hint="eastAsia"/>
          <w:szCs w:val="21"/>
        </w:rPr>
        <w:t>人。</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8943F1">
        <w:rPr>
          <w:rFonts w:asciiTheme="minorEastAsia" w:hAnsiTheme="minorEastAsia" w:cs="Arial" w:hint="eastAsia"/>
          <w:szCs w:val="21"/>
        </w:rPr>
        <w:t>收资金</w:t>
      </w:r>
      <w:proofErr w:type="gramEnd"/>
      <w:r w:rsidRPr="008943F1">
        <w:rPr>
          <w:rFonts w:asciiTheme="minorEastAsia" w:hAnsiTheme="minorEastAsia" w:cs="Arial" w:hint="eastAsia"/>
          <w:szCs w:val="21"/>
        </w:rPr>
        <w:t>等的收取按照中国证券登记结算有限责任公司的规定以及基金管理人与基金托管人签署的《托管银行证券资金结算协议》执行。</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5.若中国证监会或其他监管机构在本托管协议订立日之后允许基金从事其他投资品种的投资业务，涉及相关账户的开立、使用的，若无相关规定，</w:t>
      </w:r>
      <w:proofErr w:type="gramStart"/>
      <w:r w:rsidRPr="008943F1">
        <w:rPr>
          <w:rFonts w:asciiTheme="minorEastAsia" w:hAnsiTheme="minorEastAsia" w:cs="Arial" w:hint="eastAsia"/>
          <w:szCs w:val="21"/>
        </w:rPr>
        <w:t>则基金</w:t>
      </w:r>
      <w:proofErr w:type="gramEnd"/>
      <w:r w:rsidRPr="008943F1">
        <w:rPr>
          <w:rFonts w:asciiTheme="minorEastAsia" w:hAnsiTheme="minorEastAsia" w:cs="Arial" w:hint="eastAsia"/>
          <w:szCs w:val="21"/>
        </w:rPr>
        <w:t>托管人比照上述关于账户开立、使用的规定执行。</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（五）债券托管专户的开设和管理</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（六）其他账户的开立和管理</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2.法律法规等有关规定对相关账户的开立和管理另有规定的，从其规定办理。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（七）基金财产投资的有关有价凭证等的保管</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基金财产投资的有关实物证券、银行</w:t>
      </w:r>
      <w:r w:rsidRPr="008943F1">
        <w:rPr>
          <w:rFonts w:asciiTheme="minorEastAsia" w:hAnsiTheme="minorEastAsia" w:hint="eastAsia"/>
          <w:szCs w:val="21"/>
        </w:rPr>
        <w:t>存款开户证实书</w:t>
      </w:r>
      <w:r w:rsidRPr="008943F1">
        <w:rPr>
          <w:rFonts w:asciiTheme="minorEastAsia" w:hAnsiTheme="minorEastAsia" w:cs="Arial" w:hint="eastAsia"/>
          <w:szCs w:val="21"/>
        </w:rPr>
        <w:t>等有价凭证由基金托管人存放于基金托管人的保管库，也可存入中央国债登记结算有限责任公司、中国证券登记结算有限责任</w:t>
      </w:r>
      <w:r w:rsidRPr="008943F1">
        <w:rPr>
          <w:rFonts w:asciiTheme="minorEastAsia" w:hAnsiTheme="minorEastAsia" w:cs="Arial" w:hint="eastAsia"/>
          <w:szCs w:val="21"/>
        </w:rPr>
        <w:lastRenderedPageBreak/>
        <w:t>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（八）与基金财产有关的重大合同的保管</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6E7E82" w:rsidRPr="008943F1" w:rsidRDefault="006E7E82" w:rsidP="00762BF7">
      <w:pPr>
        <w:spacing w:line="360" w:lineRule="auto"/>
        <w:rPr>
          <w:rFonts w:asciiTheme="minorEastAsia" w:hAnsiTheme="minorEastAsia"/>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（一）基金管理人对发送指令人员的书面授权</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1.基金管理人应指定专人向基金托管人发送指令。</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2.基金管理人应向基金托管人提供书面授权文件，内容包括被授权人名单、预留印鉴及被授权人签字样本，授权文件应注明被授权人相应的权限。</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（二）指令的内容</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1.指令包括付款指令以及其他资金划拨指令等。</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2.基金管理人发给基金托管人的指令应写明款项事由、支付时间、到账时间、金额、账户等，加盖预留印鉴并由被授权人签字。</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（三）指令的发送、确认及执行的时间和程序</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1.指令的发送</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基金管理人发送指令应采用加密传真方式或双方协商一致的其他方式。</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指令发出后，基金管理人应及时以电话方式向基金托管人确认。</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2.指令的确认</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lastRenderedPageBreak/>
        <w:t>3.指令的时间和执行</w:t>
      </w:r>
    </w:p>
    <w:p w:rsidR="006E7E82" w:rsidRPr="008943F1" w:rsidRDefault="006E7E82" w:rsidP="00762BF7">
      <w:pPr>
        <w:pStyle w:val="ab"/>
        <w:spacing w:line="360" w:lineRule="auto"/>
        <w:ind w:firstLineChars="0"/>
        <w:rPr>
          <w:rFonts w:asciiTheme="minorEastAsia" w:eastAsia="宋体" w:hAnsiTheme="minorEastAsia" w:cs="Arial"/>
          <w:sz w:val="21"/>
          <w:szCs w:val="21"/>
          <w:shd w:val="pct15" w:color="auto" w:fill="FFFFFF"/>
        </w:rPr>
      </w:pPr>
      <w:r w:rsidRPr="008943F1">
        <w:rPr>
          <w:rFonts w:asciiTheme="minorEastAsia" w:eastAsia="宋体" w:hAnsiTheme="minorEastAsia" w:cs="Arial" w:hint="eastAsia"/>
          <w:sz w:val="21"/>
          <w:szCs w:val="21"/>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8943F1">
        <w:rPr>
          <w:rFonts w:asciiTheme="minorEastAsia" w:eastAsia="宋体" w:hAnsiTheme="minorEastAsia" w:cs="Arial" w:hint="eastAsia"/>
          <w:sz w:val="21"/>
          <w:szCs w:val="21"/>
        </w:rPr>
        <w:t>并相关</w:t>
      </w:r>
      <w:proofErr w:type="gramEnd"/>
      <w:r w:rsidRPr="008943F1">
        <w:rPr>
          <w:rFonts w:asciiTheme="minorEastAsia" w:eastAsia="宋体" w:hAnsiTheme="minorEastAsia" w:cs="Arial" w:hint="eastAsia"/>
          <w:sz w:val="21"/>
          <w:szCs w:val="21"/>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6E7E82" w:rsidRPr="008943F1" w:rsidRDefault="006E7E82" w:rsidP="00762BF7">
      <w:pPr>
        <w:pStyle w:val="ab"/>
        <w:spacing w:line="360" w:lineRule="auto"/>
        <w:ind w:firstLineChars="0"/>
        <w:rPr>
          <w:rFonts w:asciiTheme="minorEastAsia" w:eastAsia="宋体" w:hAnsiTheme="minorEastAsia" w:cs="Arial"/>
          <w:sz w:val="21"/>
          <w:szCs w:val="21"/>
        </w:rPr>
      </w:pPr>
      <w:r w:rsidRPr="008943F1">
        <w:rPr>
          <w:rFonts w:asciiTheme="minorEastAsia" w:eastAsia="宋体" w:hAnsiTheme="minorEastAsia" w:cs="Arial" w:hint="eastAsia"/>
          <w:sz w:val="21"/>
          <w:szCs w:val="21"/>
        </w:rPr>
        <w:t>（四）基金管理人发送错误指令的情形和处理程序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基金管理人发送错误指令的情形包括指令违反法律法规和《基金合同》，指令发送人员无权或超越权限发送指令。</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基金托管人在履行监督职能时，发现基金管理人的指令错误时，有权拒绝执行，并及时通知基金管理人改正。如需撤销指令，基金管理人应出具书面说明，并加盖业务用章。</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（五）基金托管人依照法律法规暂缓、拒绝执行指令的情形和处理程序</w:t>
      </w:r>
    </w:p>
    <w:p w:rsidR="006E7E82" w:rsidRPr="008943F1" w:rsidRDefault="006E7E82" w:rsidP="00762BF7">
      <w:pPr>
        <w:adjustRightInd w:val="0"/>
        <w:snapToGrid w:val="0"/>
        <w:spacing w:line="360" w:lineRule="auto"/>
        <w:ind w:firstLine="480"/>
        <w:rPr>
          <w:rFonts w:asciiTheme="minorEastAsia" w:hAnsiTheme="minorEastAsia" w:cs="Arial"/>
          <w:szCs w:val="21"/>
        </w:rPr>
      </w:pPr>
      <w:proofErr w:type="gramStart"/>
      <w:r w:rsidRPr="008943F1">
        <w:rPr>
          <w:rFonts w:asciiTheme="minorEastAsia" w:hAnsiTheme="minorEastAsia" w:cs="Arial" w:hint="eastAsia"/>
          <w:szCs w:val="21"/>
        </w:rPr>
        <w:t>若基金</w:t>
      </w:r>
      <w:proofErr w:type="gramEnd"/>
      <w:r w:rsidRPr="008943F1">
        <w:rPr>
          <w:rFonts w:asciiTheme="minorEastAsia" w:hAnsiTheme="minorEastAsia" w:cs="Arial" w:hint="eastAsia"/>
          <w:szCs w:val="21"/>
        </w:rPr>
        <w:t>托管人发现基金管理人的指令违反法律法规，或者违反《基金合同》约定的，应当拒绝执行，立即通知基金管理人。</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（六）基金托管人未按照基金管理人指令执行的处理方法</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基金托管人由于自身原因，未按照基金管理人发送的指令执行并对基金财产或投资人造成的直接损失，由基金托管人</w:t>
      </w:r>
      <w:r w:rsidRPr="008943F1">
        <w:rPr>
          <w:rFonts w:asciiTheme="minorEastAsia" w:hAnsiTheme="minorEastAsia" w:hint="eastAsia"/>
          <w:szCs w:val="21"/>
        </w:rPr>
        <w:t>赔偿由此造成的直接损失。</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（七）更换被授权人员的程序</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8943F1">
        <w:rPr>
          <w:rFonts w:asciiTheme="minorEastAsia" w:hAnsiTheme="minorEastAsia" w:cs="Arial" w:hint="eastAsia"/>
          <w:szCs w:val="21"/>
        </w:rPr>
        <w:t>件内容</w:t>
      </w:r>
      <w:proofErr w:type="gramEnd"/>
      <w:r w:rsidRPr="008943F1">
        <w:rPr>
          <w:rFonts w:asciiTheme="minorEastAsia" w:hAnsiTheme="minorEastAsia" w:cs="Arial" w:hint="eastAsia"/>
          <w:szCs w:val="21"/>
        </w:rPr>
        <w:t>执行有关业务，如果新的授权文件正本与传真</w:t>
      </w:r>
      <w:proofErr w:type="gramStart"/>
      <w:r w:rsidRPr="008943F1">
        <w:rPr>
          <w:rFonts w:asciiTheme="minorEastAsia" w:hAnsiTheme="minorEastAsia" w:cs="Arial" w:hint="eastAsia"/>
          <w:szCs w:val="21"/>
        </w:rPr>
        <w:t>件内容</w:t>
      </w:r>
      <w:proofErr w:type="gramEnd"/>
      <w:r w:rsidRPr="008943F1">
        <w:rPr>
          <w:rFonts w:asciiTheme="minorEastAsia" w:hAnsiTheme="minorEastAsia" w:cs="Arial" w:hint="eastAsia"/>
          <w:szCs w:val="21"/>
        </w:rPr>
        <w:t>不同，由此产生的责任由基金管理人承担</w:t>
      </w:r>
      <w:r w:rsidRPr="008943F1">
        <w:rPr>
          <w:rFonts w:asciiTheme="minorEastAsia" w:hAnsiTheme="minorEastAsia" w:hint="eastAsia"/>
          <w:szCs w:val="21"/>
        </w:rPr>
        <w:t>。</w:t>
      </w:r>
      <w:r w:rsidRPr="008943F1">
        <w:rPr>
          <w:rFonts w:asciiTheme="minorEastAsia" w:hAnsiTheme="minorEastAsia" w:cs="Arial" w:hint="eastAsia"/>
          <w:szCs w:val="21"/>
        </w:rPr>
        <w:t>基金托管人更换接受基金管理人指令的人员，应提前通过录音电话通知基金管理人。</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（八）其他事项</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基金托管人在接收指令时，应对指令的要素是否齐全、印鉴与被授权人是否与预留的授权文件内容相符进行检查，如发现问题，应及时报告基金管理人，基金托管人对执行基金管</w:t>
      </w:r>
      <w:r w:rsidRPr="008943F1">
        <w:rPr>
          <w:rFonts w:asciiTheme="minorEastAsia" w:hAnsiTheme="minorEastAsia" w:cs="Arial" w:hint="eastAsia"/>
          <w:szCs w:val="21"/>
        </w:rPr>
        <w:lastRenderedPageBreak/>
        <w:t>理人的合法指令对基金财产造成的损失不承担赔偿责任。</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（一）选择证券买卖的证券经营机构</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（二）基金投资证券后的清算交收安排</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1.清算与交割</w:t>
      </w:r>
    </w:p>
    <w:p w:rsidR="006E7E82" w:rsidRPr="008943F1" w:rsidRDefault="006E7E82" w:rsidP="003A4597">
      <w:pPr>
        <w:adjustRightInd w:val="0"/>
        <w:snapToGrid w:val="0"/>
        <w:spacing w:line="360" w:lineRule="auto"/>
        <w:ind w:firstLine="480"/>
        <w:rPr>
          <w:rFonts w:asciiTheme="minorEastAsia" w:hAnsiTheme="minorEastAsia"/>
          <w:szCs w:val="21"/>
        </w:rPr>
      </w:pPr>
      <w:r w:rsidRPr="008943F1">
        <w:rPr>
          <w:rFonts w:asciiTheme="minorEastAsia" w:hAnsiTheme="minorEastAsia" w:hint="eastAsia"/>
          <w:szCs w:val="21"/>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hint="eastAsia"/>
          <w:szCs w:val="21"/>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8943F1">
        <w:rPr>
          <w:rFonts w:asciiTheme="minorEastAsia" w:hAnsiTheme="minorEastAsia" w:cs="Arial" w:hint="eastAsia"/>
          <w:szCs w:val="21"/>
        </w:rPr>
        <w:t>券</w:t>
      </w:r>
      <w:proofErr w:type="gramEnd"/>
      <w:r w:rsidRPr="008943F1">
        <w:rPr>
          <w:rFonts w:asciiTheme="minorEastAsia" w:hAnsiTheme="minorEastAsia" w:cs="Arial" w:hint="eastAsia"/>
          <w:szCs w:val="21"/>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6E7E82" w:rsidRPr="008943F1" w:rsidRDefault="006E7E82" w:rsidP="00762BF7">
      <w:pPr>
        <w:adjustRightInd w:val="0"/>
        <w:snapToGrid w:val="0"/>
        <w:spacing w:line="360" w:lineRule="auto"/>
        <w:ind w:firstLine="480"/>
        <w:rPr>
          <w:rFonts w:asciiTheme="minorEastAsia" w:hAnsiTheme="minorEastAsia" w:cs="宋体"/>
          <w:color w:val="000000"/>
          <w:kern w:val="0"/>
          <w:szCs w:val="21"/>
        </w:rPr>
      </w:pPr>
      <w:r w:rsidRPr="008943F1">
        <w:rPr>
          <w:rFonts w:asciiTheme="minorEastAsia" w:hAnsiTheme="minorEastAsia" w:cs="宋体" w:hint="eastAsia"/>
          <w:color w:val="000000"/>
          <w:kern w:val="0"/>
          <w:szCs w:val="21"/>
        </w:rPr>
        <w:t>基金管理人应采取合理、必要措施，确保T日日终有足够的资金头寸完成 T+1日</w:t>
      </w:r>
      <w:r w:rsidRPr="008943F1">
        <w:rPr>
          <w:rFonts w:asciiTheme="minorEastAsia" w:hAnsiTheme="minorEastAsia" w:hint="eastAsia"/>
          <w:szCs w:val="21"/>
        </w:rPr>
        <w:t>中国证券登记结算有限责任公司的资金</w:t>
      </w:r>
      <w:r w:rsidRPr="008943F1">
        <w:rPr>
          <w:rFonts w:asciiTheme="minorEastAsia" w:hAnsiTheme="minorEastAsia" w:cs="宋体" w:hint="eastAsia"/>
          <w:color w:val="000000"/>
          <w:kern w:val="0"/>
          <w:szCs w:val="21"/>
        </w:rPr>
        <w:t>交收；如因基金管理</w:t>
      </w:r>
      <w:proofErr w:type="gramStart"/>
      <w:r w:rsidRPr="008943F1">
        <w:rPr>
          <w:rFonts w:asciiTheme="minorEastAsia" w:hAnsiTheme="minorEastAsia" w:cs="宋体" w:hint="eastAsia"/>
          <w:color w:val="000000"/>
          <w:kern w:val="0"/>
          <w:szCs w:val="21"/>
        </w:rPr>
        <w:t>人原因</w:t>
      </w:r>
      <w:proofErr w:type="gramEnd"/>
      <w:r w:rsidRPr="008943F1">
        <w:rPr>
          <w:rFonts w:asciiTheme="minorEastAsia" w:hAnsiTheme="minorEastAsia" w:cs="宋体" w:hint="eastAsia"/>
          <w:color w:val="000000"/>
          <w:kern w:val="0"/>
          <w:szCs w:val="21"/>
        </w:rPr>
        <w:t>导致资金头寸不足，基金管理人应在T+1日上午12：00前补足透支款项，确保资金清算。如果未遵循上述规定备足资金头寸，影响基金资产的清算交收及基金托管人与中国证券登记结算有限责任公司之间的一级清算，</w:t>
      </w:r>
      <w:r w:rsidRPr="008943F1">
        <w:rPr>
          <w:rFonts w:asciiTheme="minorEastAsia" w:hAnsiTheme="minorEastAsia" w:cs="宋体" w:hint="eastAsia"/>
          <w:color w:val="000000"/>
          <w:kern w:val="0"/>
          <w:szCs w:val="21"/>
        </w:rPr>
        <w:lastRenderedPageBreak/>
        <w:t>由此给基金托管人、基金资产及基金托管人托管的其他资产造成的直接损失由基金管理人负责。</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w:t>
      </w:r>
      <w:proofErr w:type="gramStart"/>
      <w:r w:rsidRPr="008943F1">
        <w:rPr>
          <w:rFonts w:asciiTheme="minorEastAsia" w:hAnsiTheme="minorEastAsia" w:cs="宋体" w:hint="eastAsia"/>
          <w:color w:val="000000"/>
          <w:kern w:val="0"/>
          <w:szCs w:val="21"/>
        </w:rPr>
        <w:t>券</w:t>
      </w:r>
      <w:proofErr w:type="gramEnd"/>
      <w:r w:rsidRPr="008943F1">
        <w:rPr>
          <w:rFonts w:asciiTheme="minorEastAsia" w:hAnsiTheme="minorEastAsia" w:cs="宋体" w:hint="eastAsia"/>
          <w:color w:val="000000"/>
          <w:kern w:val="0"/>
          <w:szCs w:val="21"/>
        </w:rPr>
        <w:t>。如因基金管理</w:t>
      </w:r>
      <w:proofErr w:type="gramStart"/>
      <w:r w:rsidRPr="008943F1">
        <w:rPr>
          <w:rFonts w:asciiTheme="minorEastAsia" w:hAnsiTheme="minorEastAsia" w:cs="宋体" w:hint="eastAsia"/>
          <w:color w:val="000000"/>
          <w:kern w:val="0"/>
          <w:szCs w:val="21"/>
        </w:rPr>
        <w:t>人原因</w:t>
      </w:r>
      <w:proofErr w:type="gramEnd"/>
      <w:r w:rsidRPr="008943F1">
        <w:rPr>
          <w:rFonts w:asciiTheme="minorEastAsia" w:hAnsiTheme="minorEastAsia" w:cs="宋体" w:hint="eastAsia"/>
          <w:color w:val="000000"/>
          <w:kern w:val="0"/>
          <w:szCs w:val="21"/>
        </w:rPr>
        <w:t>造成债券回购交收违约或因折算率变化造成质押欠库，导致中国证券登记结算有限责任公司欠库扣款或对质押</w:t>
      </w:r>
      <w:proofErr w:type="gramStart"/>
      <w:r w:rsidRPr="008943F1">
        <w:rPr>
          <w:rFonts w:asciiTheme="minorEastAsia" w:hAnsiTheme="minorEastAsia" w:cs="宋体" w:hint="eastAsia"/>
          <w:color w:val="000000"/>
          <w:kern w:val="0"/>
          <w:szCs w:val="21"/>
        </w:rPr>
        <w:t>券</w:t>
      </w:r>
      <w:proofErr w:type="gramEnd"/>
      <w:r w:rsidRPr="008943F1">
        <w:rPr>
          <w:rFonts w:asciiTheme="minorEastAsia" w:hAnsiTheme="minorEastAsia" w:cs="宋体" w:hint="eastAsia"/>
          <w:color w:val="000000"/>
          <w:kern w:val="0"/>
          <w:szCs w:val="21"/>
        </w:rPr>
        <w:t>进行处置造成的投资风险和损失由基金管理人承担。</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实行场内T+0交收的资金清算按照基金托管人的相关规定流程执行。</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2.交易记录、资金和证券账目核对的时间和方式</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（1）交易记录的核对</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（2）资金账目的核对</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资金账目按日核实。</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（3）证券账目的核对</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基金管理人和基金托管人每交易日结束后核对基金交易所场内证券账目，确保双方账目相符。基金管理人和基金托管人每月月</w:t>
      </w:r>
      <w:proofErr w:type="gramStart"/>
      <w:r w:rsidRPr="008943F1">
        <w:rPr>
          <w:rFonts w:asciiTheme="minorEastAsia" w:hAnsiTheme="minorEastAsia" w:cs="Arial" w:hint="eastAsia"/>
          <w:szCs w:val="21"/>
        </w:rPr>
        <w:t>末最后</w:t>
      </w:r>
      <w:proofErr w:type="gramEnd"/>
      <w:r w:rsidRPr="008943F1">
        <w:rPr>
          <w:rFonts w:asciiTheme="minorEastAsia" w:hAnsiTheme="minorEastAsia" w:cs="Arial" w:hint="eastAsia"/>
          <w:szCs w:val="21"/>
        </w:rPr>
        <w:t>一个交易日</w:t>
      </w:r>
      <w:proofErr w:type="gramStart"/>
      <w:r w:rsidRPr="008943F1">
        <w:rPr>
          <w:rFonts w:asciiTheme="minorEastAsia" w:hAnsiTheme="minorEastAsia" w:cs="Arial" w:hint="eastAsia"/>
          <w:szCs w:val="21"/>
        </w:rPr>
        <w:t>核对非</w:t>
      </w:r>
      <w:proofErr w:type="gramEnd"/>
      <w:r w:rsidRPr="008943F1">
        <w:rPr>
          <w:rFonts w:asciiTheme="minorEastAsia" w:hAnsiTheme="minorEastAsia" w:cs="Arial" w:hint="eastAsia"/>
          <w:szCs w:val="21"/>
        </w:rPr>
        <w:t>交易所场内的证券账目。</w:t>
      </w:r>
    </w:p>
    <w:p w:rsidR="006E7E82" w:rsidRPr="008943F1" w:rsidRDefault="006E7E82" w:rsidP="00762BF7">
      <w:pPr>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（三）基金申购和赎回业务处理的基本规定</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1.基金份额申购、赎回的确认、清算由基金管理人或其委托的注册登记机构负责。</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3.基金管理人应保证本基金（或本基金管理人委托）的注册登记机构每个工作日15:00前向基金托管人发送前一开放</w:t>
      </w:r>
      <w:proofErr w:type="gramStart"/>
      <w:r w:rsidRPr="008943F1">
        <w:rPr>
          <w:rFonts w:asciiTheme="minorEastAsia" w:hAnsiTheme="minorEastAsia" w:cs="Arial" w:hint="eastAsia"/>
          <w:szCs w:val="21"/>
        </w:rPr>
        <w:t>日上述</w:t>
      </w:r>
      <w:proofErr w:type="gramEnd"/>
      <w:r w:rsidRPr="008943F1">
        <w:rPr>
          <w:rFonts w:asciiTheme="minorEastAsia" w:hAnsiTheme="minorEastAsia" w:cs="Arial" w:hint="eastAsia"/>
          <w:szCs w:val="21"/>
        </w:rPr>
        <w:t>有关数据，并保证相关数据的准确、完整。</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5.如基金管理人委托其他机构办理本基金的注册登记业务，应保证上述相关事宜按时进行。否则，由基金管理人承担相应的责任。</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6.关于清算专用账户的设立和管理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为满足申购、赎回及分红资金汇划的需要，由基金管理人开立资金清算的专用账户，该账户由注册登记机构管理。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7.对于基金申购过程中产生的应收款，应由基金管理人负责与有关当事人确定到账日期并通知基金托管人，到账日应收款没有到达基金资金账户的，基金托管人应及时通知基金管</w:t>
      </w:r>
      <w:r w:rsidRPr="008943F1">
        <w:rPr>
          <w:rFonts w:asciiTheme="minorEastAsia" w:hAnsiTheme="minorEastAsia" w:cs="Arial" w:hint="eastAsia"/>
          <w:szCs w:val="21"/>
        </w:rPr>
        <w:lastRenderedPageBreak/>
        <w:t>理人采取措施进行催收，由此造成基金损失的，基金管理人应负责向有关当事人追偿基金的损失。</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8.赎回和分红资金划拨规定</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拨付</w:t>
      </w:r>
      <w:proofErr w:type="gramStart"/>
      <w:r w:rsidRPr="008943F1">
        <w:rPr>
          <w:rFonts w:asciiTheme="minorEastAsia" w:hAnsiTheme="minorEastAsia" w:cs="Arial" w:hint="eastAsia"/>
          <w:szCs w:val="21"/>
        </w:rPr>
        <w:t>赎回款</w:t>
      </w:r>
      <w:proofErr w:type="gramEnd"/>
      <w:r w:rsidRPr="008943F1">
        <w:rPr>
          <w:rFonts w:asciiTheme="minorEastAsia" w:hAnsiTheme="minorEastAsia" w:cs="Arial" w:hint="eastAsia"/>
          <w:szCs w:val="21"/>
        </w:rPr>
        <w:t>或进行基金分红时，如基金资金账户有足够的资金，基金托管人应按时拨付；因基金资金账户没有足够的资金，导致基金托管人不能按时拨付，如</w:t>
      </w:r>
      <w:proofErr w:type="gramStart"/>
      <w:r w:rsidRPr="008943F1">
        <w:rPr>
          <w:rFonts w:asciiTheme="minorEastAsia" w:hAnsiTheme="minorEastAsia" w:cs="Arial" w:hint="eastAsia"/>
          <w:szCs w:val="21"/>
        </w:rPr>
        <w:t>系基金</w:t>
      </w:r>
      <w:proofErr w:type="gramEnd"/>
      <w:r w:rsidRPr="008943F1">
        <w:rPr>
          <w:rFonts w:asciiTheme="minorEastAsia" w:hAnsiTheme="minorEastAsia" w:cs="Arial" w:hint="eastAsia"/>
          <w:szCs w:val="21"/>
        </w:rPr>
        <w:t>管理人的原因造成，责任由基金管理人承担，基金托管人不承担垫款义务。</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9.资金指令</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除申购款项到达基金资金账户需双方按约定方式对账外，回购到期付款和与投资有关的付款、赎回和分红资金划拨时，基金管理人需向基金托管人下达指令。</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资金指令的格式、内容、发送、接收和确认方式等与投资指令相同。</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（四）</w:t>
      </w:r>
      <w:proofErr w:type="gramStart"/>
      <w:r w:rsidRPr="008943F1">
        <w:rPr>
          <w:rFonts w:asciiTheme="minorEastAsia" w:hAnsiTheme="minorEastAsia" w:cs="Arial" w:hint="eastAsia"/>
          <w:szCs w:val="21"/>
        </w:rPr>
        <w:t>申赎净额</w:t>
      </w:r>
      <w:proofErr w:type="gramEnd"/>
      <w:r w:rsidRPr="008943F1">
        <w:rPr>
          <w:rFonts w:asciiTheme="minorEastAsia" w:hAnsiTheme="minorEastAsia" w:cs="Arial" w:hint="eastAsia"/>
          <w:szCs w:val="21"/>
        </w:rPr>
        <w:t>结算</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基金托管账户与“基金清算账户”间的资金结算遵循“全额清算、净额交收”的原则，每日(T日：资金交收日，下同)按照托管账户应收资金(T-2日申购申请对应申购金额与T-</w:t>
      </w:r>
      <w:r w:rsidR="00F71402" w:rsidRPr="008943F1">
        <w:rPr>
          <w:rFonts w:asciiTheme="minorEastAsia" w:hAnsiTheme="minorEastAsia" w:cs="Arial" w:hint="eastAsia"/>
          <w:szCs w:val="21"/>
        </w:rPr>
        <w:t>2</w:t>
      </w:r>
      <w:r w:rsidRPr="008943F1">
        <w:rPr>
          <w:rFonts w:asciiTheme="minorEastAsia" w:hAnsiTheme="minorEastAsia" w:cs="Arial" w:hint="eastAsia"/>
          <w:szCs w:val="21"/>
        </w:rPr>
        <w:t>日基金转换</w:t>
      </w:r>
      <w:proofErr w:type="gramStart"/>
      <w:r w:rsidRPr="008943F1">
        <w:rPr>
          <w:rFonts w:asciiTheme="minorEastAsia" w:hAnsiTheme="minorEastAsia" w:cs="Arial" w:hint="eastAsia"/>
          <w:szCs w:val="21"/>
        </w:rPr>
        <w:t>入申请</w:t>
      </w:r>
      <w:proofErr w:type="gramEnd"/>
      <w:r w:rsidRPr="008943F1">
        <w:rPr>
          <w:rFonts w:asciiTheme="minorEastAsia" w:hAnsiTheme="minorEastAsia" w:cs="Arial" w:hint="eastAsia"/>
          <w:szCs w:val="21"/>
        </w:rPr>
        <w:t>对应金额之和)与应付资金(T-3日赎回申请对应赎回金额与T-</w:t>
      </w:r>
      <w:r w:rsidR="00F71402" w:rsidRPr="008943F1">
        <w:rPr>
          <w:rFonts w:asciiTheme="minorEastAsia" w:hAnsiTheme="minorEastAsia" w:cs="Arial" w:hint="eastAsia"/>
          <w:szCs w:val="21"/>
        </w:rPr>
        <w:t>2</w:t>
      </w:r>
      <w:r w:rsidRPr="008943F1">
        <w:rPr>
          <w:rFonts w:asciiTheme="minorEastAsia" w:hAnsiTheme="minorEastAsia" w:cs="Arial" w:hint="eastAsia"/>
          <w:szCs w:val="21"/>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8943F1">
        <w:rPr>
          <w:rFonts w:asciiTheme="minorEastAsia" w:hAnsiTheme="minorEastAsia" w:cs="Arial" w:hint="eastAsia"/>
          <w:szCs w:val="21"/>
        </w:rPr>
        <w:t>划往基金</w:t>
      </w:r>
      <w:proofErr w:type="gramEnd"/>
      <w:r w:rsidRPr="008943F1">
        <w:rPr>
          <w:rFonts w:asciiTheme="minorEastAsia" w:hAnsiTheme="minorEastAsia" w:cs="Arial" w:hint="eastAsia"/>
          <w:szCs w:val="21"/>
        </w:rPr>
        <w:t>清算账户。</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（五）基金转换</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1.在本基金与基金管理人管理的其它基金开展转换业务之前，基金管理人应函告基金托管人并就相关事宜进行协商。</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2.基金托管人将根据基金管理人传送的基金转换数据进行账务处理，</w:t>
      </w:r>
      <w:proofErr w:type="gramStart"/>
      <w:r w:rsidRPr="008943F1">
        <w:rPr>
          <w:rFonts w:asciiTheme="minorEastAsia" w:hAnsiTheme="minorEastAsia" w:cs="Arial" w:hint="eastAsia"/>
          <w:szCs w:val="21"/>
        </w:rPr>
        <w:t>具体资金</w:t>
      </w:r>
      <w:proofErr w:type="gramEnd"/>
      <w:r w:rsidRPr="008943F1">
        <w:rPr>
          <w:rFonts w:asciiTheme="minorEastAsia" w:hAnsiTheme="minorEastAsia" w:cs="Arial" w:hint="eastAsia"/>
          <w:szCs w:val="21"/>
        </w:rPr>
        <w:t>清算和数据传递的时间、程序及托管协议当事人承担的权责按基金管理人届时的公告执行。</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3.本基金开展基金转换业务应按相关法律法规规定及《基金合同》的约定进行公告。</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（六）基金现金分红</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1.基金管理人确定分红方案通知基金托管人，双方核定后依照《信息披露办法》的有关规定在中国证监会指定媒体上公告并报中国证监会备案。</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3.基金管理人在下达指令时，应给基金托管人留出必需的划款时间。</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（七）投资银行存款的特别约定</w:t>
      </w:r>
    </w:p>
    <w:p w:rsidR="003741FE" w:rsidRPr="008943F1" w:rsidRDefault="003741FE"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szCs w:val="21"/>
        </w:rPr>
        <w:t>1.本基金投资银行存款前，基金管理人应与存款银行签订具体存款协议，包括但不限于以下内容：</w:t>
      </w:r>
    </w:p>
    <w:p w:rsidR="003741FE" w:rsidRPr="008943F1" w:rsidRDefault="003741FE"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w:t>
      </w:r>
      <w:r w:rsidRPr="008943F1">
        <w:rPr>
          <w:rFonts w:asciiTheme="minorEastAsia" w:hAnsiTheme="minorEastAsia" w:cs="Arial"/>
          <w:szCs w:val="21"/>
        </w:rPr>
        <w:t>1）存款账户必须以本基金名义开立,并将基金托管人为本基金开立的基金银行账户指</w:t>
      </w:r>
      <w:r w:rsidRPr="008943F1">
        <w:rPr>
          <w:rFonts w:asciiTheme="minorEastAsia" w:hAnsiTheme="minorEastAsia" w:cs="Arial" w:hint="eastAsia"/>
          <w:szCs w:val="21"/>
        </w:rPr>
        <w:lastRenderedPageBreak/>
        <w:t>定为唯一回款账户，任何情况下，存款银行都不得将存款投资</w:t>
      </w:r>
      <w:proofErr w:type="gramStart"/>
      <w:r w:rsidRPr="008943F1">
        <w:rPr>
          <w:rFonts w:asciiTheme="minorEastAsia" w:hAnsiTheme="minorEastAsia" w:cs="Arial" w:hint="eastAsia"/>
          <w:szCs w:val="21"/>
        </w:rPr>
        <w:t>本息划往任何</w:t>
      </w:r>
      <w:proofErr w:type="gramEnd"/>
      <w:r w:rsidRPr="008943F1">
        <w:rPr>
          <w:rFonts w:asciiTheme="minorEastAsia" w:hAnsiTheme="minorEastAsia" w:cs="Arial" w:hint="eastAsia"/>
          <w:szCs w:val="21"/>
        </w:rPr>
        <w:t>其他账户。</w:t>
      </w:r>
    </w:p>
    <w:p w:rsidR="003741FE" w:rsidRPr="008943F1" w:rsidRDefault="003741FE"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w:t>
      </w:r>
      <w:r w:rsidRPr="008943F1">
        <w:rPr>
          <w:rFonts w:asciiTheme="minorEastAsia" w:hAnsiTheme="minorEastAsia" w:cs="Arial"/>
          <w:szCs w:val="21"/>
        </w:rPr>
        <w:t>2）存款银行不得接受基金管理人或基金托管人任何一方单方面提出的对存款进行更名、转让、挂失、质押、担保、撤销、变更印鉴及回款账户信息等可能导致财产转移的操作申请。</w:t>
      </w:r>
    </w:p>
    <w:p w:rsidR="003741FE" w:rsidRPr="008943F1" w:rsidRDefault="003741FE"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w:t>
      </w:r>
      <w:r w:rsidRPr="008943F1">
        <w:rPr>
          <w:rFonts w:asciiTheme="minorEastAsia" w:hAnsiTheme="minorEastAsia" w:cs="Arial"/>
          <w:szCs w:val="21"/>
        </w:rPr>
        <w:t>3）约定存款证实书的具体传递交接方式及交接期限。</w:t>
      </w:r>
    </w:p>
    <w:p w:rsidR="003741FE" w:rsidRPr="008943F1" w:rsidRDefault="003741FE"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w:t>
      </w:r>
      <w:r w:rsidRPr="008943F1">
        <w:rPr>
          <w:rFonts w:asciiTheme="minorEastAsia" w:hAnsiTheme="minorEastAsia" w:cs="Arial"/>
          <w:szCs w:val="21"/>
        </w:rPr>
        <w:t>4）资金划转过程中需要使用存款银行过渡账户的，存款银行须保证资金在过渡账户中不出现滞留，不被挪用。</w:t>
      </w:r>
    </w:p>
    <w:p w:rsidR="003741FE" w:rsidRPr="008943F1" w:rsidRDefault="003741FE"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szCs w:val="21"/>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3741FE" w:rsidRPr="008943F1" w:rsidRDefault="003741FE" w:rsidP="00762BF7">
      <w:pPr>
        <w:spacing w:line="360" w:lineRule="auto"/>
        <w:ind w:firstLine="480"/>
        <w:rPr>
          <w:rFonts w:asciiTheme="minorEastAsia" w:hAnsiTheme="minorEastAsia" w:cs="Arial"/>
          <w:szCs w:val="21"/>
        </w:rPr>
      </w:pPr>
      <w:r w:rsidRPr="008943F1">
        <w:rPr>
          <w:rFonts w:asciiTheme="minorEastAsia" w:hAnsiTheme="minorEastAsia" w:cs="Arial"/>
          <w:szCs w:val="21"/>
        </w:rPr>
        <w:t xml:space="preserve">3. </w:t>
      </w:r>
      <w:r w:rsidRPr="008943F1">
        <w:rPr>
          <w:rFonts w:asciiTheme="minorEastAsia" w:hAnsiTheme="minorEastAsia" w:cs="Arial" w:hint="eastAsia"/>
          <w:szCs w:val="21"/>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6E7E82" w:rsidP="00762BF7">
      <w:pPr>
        <w:spacing w:line="360" w:lineRule="auto"/>
        <w:rPr>
          <w:rFonts w:ascii="宋体" w:hAnsi="宋体" w:cs="Arial"/>
          <w:szCs w:val="21"/>
        </w:rPr>
      </w:pPr>
      <w:bookmarkStart w:id="86" w:name="_Toc124325892"/>
      <w:r w:rsidRPr="008943F1">
        <w:rPr>
          <w:rFonts w:ascii="宋体" w:hAnsi="宋体" w:cs="Arial" w:hint="eastAsia"/>
          <w:szCs w:val="21"/>
        </w:rPr>
        <w:t xml:space="preserve"> </w:t>
      </w:r>
      <w:r w:rsidR="00091B90" w:rsidRPr="008943F1">
        <w:rPr>
          <w:rFonts w:ascii="宋体" w:hAnsi="宋体" w:cs="Arial"/>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八、基金资产净值计算和会计核算</w:t>
      </w:r>
      <w:bookmarkEnd w:id="86"/>
    </w:p>
    <w:p w:rsidR="006E7E82" w:rsidRPr="008943F1" w:rsidRDefault="006E7E82" w:rsidP="00762BF7">
      <w:pPr>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（一）基金资产净值的计算、复核与完成的时间及程序</w:t>
      </w:r>
    </w:p>
    <w:p w:rsidR="006E7E82" w:rsidRPr="008943F1" w:rsidRDefault="006E7E82" w:rsidP="00762BF7">
      <w:pPr>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1.基金资产净值是指基金资产总值减去负债后的金额。基金份额净值是按照每个交易日闭市后，基金资产净值除以当日基金份额的余额数量计算，精确到0.00</w:t>
      </w:r>
      <w:r w:rsidR="00A21F35" w:rsidRPr="008943F1">
        <w:rPr>
          <w:rFonts w:asciiTheme="minorEastAsia" w:hAnsiTheme="minorEastAsia" w:cs="Arial" w:hint="eastAsia"/>
          <w:szCs w:val="21"/>
        </w:rPr>
        <w:t>0</w:t>
      </w:r>
      <w:r w:rsidRPr="008943F1">
        <w:rPr>
          <w:rFonts w:asciiTheme="minorEastAsia" w:hAnsiTheme="minorEastAsia" w:cs="Arial" w:hint="eastAsia"/>
          <w:szCs w:val="21"/>
        </w:rPr>
        <w:t>1元，小数点后第</w:t>
      </w:r>
      <w:r w:rsidR="00A21F35" w:rsidRPr="008943F1">
        <w:rPr>
          <w:rFonts w:asciiTheme="minorEastAsia" w:hAnsiTheme="minorEastAsia" w:cs="Arial" w:hint="eastAsia"/>
          <w:szCs w:val="21"/>
        </w:rPr>
        <w:t>五</w:t>
      </w:r>
      <w:r w:rsidRPr="008943F1">
        <w:rPr>
          <w:rFonts w:asciiTheme="minorEastAsia" w:hAnsiTheme="minorEastAsia" w:cs="Arial" w:hint="eastAsia"/>
          <w:szCs w:val="21"/>
        </w:rPr>
        <w:t>位四舍五入。国家另有规定的，从其规定。</w:t>
      </w:r>
    </w:p>
    <w:p w:rsidR="006E7E82" w:rsidRPr="008943F1" w:rsidRDefault="006E7E82" w:rsidP="00762BF7">
      <w:pPr>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每个交易日计算基金资产净值及基金份额净值，并按规定公告。</w:t>
      </w:r>
    </w:p>
    <w:p w:rsidR="006E7E82" w:rsidRPr="008943F1" w:rsidRDefault="006E7E82" w:rsidP="00762BF7">
      <w:pPr>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6E7E82" w:rsidRPr="008943F1" w:rsidRDefault="006E7E82" w:rsidP="00762BF7">
      <w:pPr>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（二）基金资产估值方法和特殊情形的处理</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1.估值对象</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基金所拥有的股票、权证、债券和银行存款本息、应收款项、其它投资等资产及负债。</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2.估值方法</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本基金所持有的投资品种，按如下原则进行估值 ：</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（1）证券交易所上市的有价证券的估值</w:t>
      </w:r>
    </w:p>
    <w:p w:rsidR="00A21F35" w:rsidRPr="008943F1" w:rsidRDefault="00A21F35" w:rsidP="00762BF7">
      <w:pPr>
        <w:spacing w:line="360" w:lineRule="auto"/>
        <w:ind w:firstLineChars="200" w:firstLine="420"/>
        <w:rPr>
          <w:bCs/>
          <w:szCs w:val="21"/>
        </w:rPr>
      </w:pPr>
      <w:r w:rsidRPr="008943F1">
        <w:rPr>
          <w:bCs/>
          <w:szCs w:val="21"/>
        </w:rPr>
        <w:t>1</w:t>
      </w:r>
      <w:r w:rsidRPr="008943F1">
        <w:rPr>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8943F1">
        <w:rPr>
          <w:rFonts w:hint="eastAsia"/>
          <w:bCs/>
          <w:szCs w:val="21"/>
        </w:rPr>
        <w:t>。</w:t>
      </w:r>
    </w:p>
    <w:p w:rsidR="00A21F35" w:rsidRPr="008943F1" w:rsidRDefault="00A21F35" w:rsidP="00762BF7">
      <w:pPr>
        <w:spacing w:line="360" w:lineRule="auto"/>
        <w:ind w:firstLineChars="200" w:firstLine="420"/>
        <w:rPr>
          <w:bCs/>
          <w:szCs w:val="21"/>
        </w:rPr>
      </w:pPr>
      <w:r w:rsidRPr="008943F1">
        <w:rPr>
          <w:rFonts w:hint="eastAsia"/>
          <w:bCs/>
          <w:szCs w:val="21"/>
        </w:rPr>
        <w:t>2</w:t>
      </w:r>
      <w:r w:rsidRPr="008943F1">
        <w:rPr>
          <w:bCs/>
          <w:szCs w:val="21"/>
        </w:rPr>
        <w:t>）对在交易所市场上市交易或挂牌转让的固定收益品种（另有规定的除外），选取第三方估值机构提供的相应品种当日的估值净价进行估值</w:t>
      </w:r>
      <w:r w:rsidR="00E46D7D" w:rsidRPr="008943F1">
        <w:rPr>
          <w:rFonts w:hint="eastAsia"/>
          <w:bCs/>
          <w:szCs w:val="21"/>
        </w:rPr>
        <w:t>。</w:t>
      </w:r>
      <w:r w:rsidRPr="008943F1">
        <w:rPr>
          <w:bCs/>
          <w:szCs w:val="21"/>
        </w:rPr>
        <w:br/>
      </w:r>
      <w:r w:rsidRPr="008943F1">
        <w:rPr>
          <w:rFonts w:hint="eastAsia"/>
          <w:bCs/>
          <w:szCs w:val="21"/>
        </w:rPr>
        <w:t xml:space="preserve">   </w:t>
      </w:r>
      <w:r w:rsidR="003741FE" w:rsidRPr="008943F1">
        <w:rPr>
          <w:rFonts w:hint="eastAsia"/>
          <w:bCs/>
          <w:szCs w:val="21"/>
        </w:rPr>
        <w:t xml:space="preserve"> </w:t>
      </w:r>
      <w:r w:rsidR="003741FE" w:rsidRPr="008943F1">
        <w:rPr>
          <w:bCs/>
          <w:szCs w:val="21"/>
        </w:rPr>
        <w:t>3</w:t>
      </w:r>
      <w:r w:rsidR="003741FE" w:rsidRPr="008943F1">
        <w:rPr>
          <w:rFonts w:hint="eastAsia"/>
          <w:bCs/>
          <w:szCs w:val="21"/>
        </w:rPr>
        <w:t>）对在交易所市场上市交易的可转换债券，按照每日收盘价作为估值全价</w:t>
      </w:r>
      <w:r w:rsidR="00E46D7D" w:rsidRPr="008943F1">
        <w:rPr>
          <w:rFonts w:hint="eastAsia"/>
          <w:bCs/>
          <w:szCs w:val="21"/>
        </w:rPr>
        <w:t>。</w:t>
      </w:r>
    </w:p>
    <w:p w:rsidR="00A21F35" w:rsidRPr="008943F1" w:rsidRDefault="00A21F35" w:rsidP="00762BF7">
      <w:pPr>
        <w:spacing w:line="360" w:lineRule="auto"/>
        <w:ind w:firstLineChars="200" w:firstLine="420"/>
        <w:rPr>
          <w:bCs/>
          <w:szCs w:val="21"/>
        </w:rPr>
      </w:pPr>
      <w:r w:rsidRPr="008943F1">
        <w:rPr>
          <w:rFonts w:hint="eastAsia"/>
          <w:bCs/>
          <w:szCs w:val="21"/>
        </w:rPr>
        <w:t>4</w:t>
      </w:r>
      <w:r w:rsidRPr="008943F1">
        <w:rPr>
          <w:bCs/>
          <w:szCs w:val="21"/>
        </w:rPr>
        <w:t>）对在交易所市场挂牌转让的资产支持证券和私募债券，采用估值技术确定公允价值，在估值技术难以可靠计量公允价值的情况下，按成本估值。</w:t>
      </w:r>
    </w:p>
    <w:p w:rsidR="00A21F35" w:rsidRPr="008943F1" w:rsidRDefault="00A21F35" w:rsidP="00762BF7">
      <w:pPr>
        <w:spacing w:line="360" w:lineRule="auto"/>
        <w:ind w:firstLineChars="200" w:firstLine="420"/>
        <w:rPr>
          <w:bCs/>
          <w:szCs w:val="21"/>
        </w:rPr>
      </w:pPr>
      <w:r w:rsidRPr="008943F1">
        <w:rPr>
          <w:rFonts w:hint="eastAsia"/>
          <w:bCs/>
          <w:szCs w:val="21"/>
        </w:rPr>
        <w:t>5</w:t>
      </w:r>
      <w:r w:rsidRPr="008943F1">
        <w:rPr>
          <w:bCs/>
          <w:szCs w:val="21"/>
        </w:rPr>
        <w:t>）交易所上市不存在活跃市场的有价证券，采用估值技术确定公允价值。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（2）处于未上市期间的有价证券应区分如下情况处理：</w:t>
      </w:r>
    </w:p>
    <w:p w:rsidR="00A21F35" w:rsidRPr="008943F1" w:rsidRDefault="00A21F35" w:rsidP="00762BF7">
      <w:pPr>
        <w:spacing w:line="360" w:lineRule="auto"/>
        <w:ind w:firstLineChars="200" w:firstLine="420"/>
        <w:rPr>
          <w:bCs/>
          <w:szCs w:val="21"/>
        </w:rPr>
      </w:pPr>
      <w:r w:rsidRPr="008943F1">
        <w:rPr>
          <w:bCs/>
          <w:szCs w:val="21"/>
        </w:rPr>
        <w:t>1</w:t>
      </w:r>
      <w:r w:rsidRPr="008943F1">
        <w:rPr>
          <w:bCs/>
          <w:szCs w:val="21"/>
        </w:rPr>
        <w:t>）送股、转增股、配股和公开增发的新股，按估值日在证券交易所挂牌的同一股票的估值方法估值；该日无交易的，以最近一日的市价（收盘价）估值</w:t>
      </w:r>
      <w:r w:rsidRPr="008943F1">
        <w:rPr>
          <w:rFonts w:hint="eastAsia"/>
          <w:bCs/>
          <w:szCs w:val="21"/>
        </w:rPr>
        <w:t>。</w:t>
      </w:r>
    </w:p>
    <w:p w:rsidR="00A21F35" w:rsidRPr="008943F1" w:rsidRDefault="00A21F35" w:rsidP="00762BF7">
      <w:pPr>
        <w:spacing w:line="360" w:lineRule="auto"/>
        <w:ind w:firstLineChars="200" w:firstLine="420"/>
        <w:rPr>
          <w:bCs/>
          <w:szCs w:val="21"/>
        </w:rPr>
      </w:pPr>
      <w:r w:rsidRPr="008943F1">
        <w:rPr>
          <w:bCs/>
          <w:szCs w:val="21"/>
        </w:rPr>
        <w:t>2</w:t>
      </w:r>
      <w:r w:rsidRPr="008943F1">
        <w:rPr>
          <w:bCs/>
          <w:szCs w:val="21"/>
        </w:rPr>
        <w:t>）首次公开发行未上市的股票、债券和权证，采用估值技术确定公允价值，在估值技术</w:t>
      </w:r>
      <w:r w:rsidRPr="008943F1">
        <w:rPr>
          <w:bCs/>
          <w:szCs w:val="21"/>
        </w:rPr>
        <w:lastRenderedPageBreak/>
        <w:t>难以可靠计量公允价值的情况下，按成本估值。</w:t>
      </w:r>
    </w:p>
    <w:p w:rsidR="00A21F35" w:rsidRPr="008943F1" w:rsidRDefault="00A21F35" w:rsidP="00762BF7">
      <w:pPr>
        <w:spacing w:line="360" w:lineRule="auto"/>
        <w:ind w:firstLineChars="200" w:firstLine="420"/>
        <w:rPr>
          <w:bCs/>
          <w:szCs w:val="21"/>
        </w:rPr>
      </w:pPr>
      <w:r w:rsidRPr="008943F1">
        <w:rPr>
          <w:bCs/>
          <w:szCs w:val="21"/>
        </w:rPr>
        <w:t>3</w:t>
      </w:r>
      <w:r w:rsidRPr="008943F1">
        <w:rPr>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A21F35" w:rsidRPr="008943F1" w:rsidRDefault="00A21F35" w:rsidP="00762BF7">
      <w:pPr>
        <w:spacing w:line="360" w:lineRule="auto"/>
        <w:ind w:firstLineChars="200" w:firstLine="420"/>
        <w:rPr>
          <w:bCs/>
          <w:szCs w:val="21"/>
        </w:rPr>
      </w:pPr>
      <w:r w:rsidRPr="008943F1">
        <w:rPr>
          <w:rFonts w:asciiTheme="minorEastAsia" w:hAnsiTheme="minorEastAsia" w:cs="Arial" w:hint="eastAsia"/>
          <w:szCs w:val="21"/>
        </w:rPr>
        <w:t>（</w:t>
      </w:r>
      <w:r w:rsidRPr="008943F1">
        <w:rPr>
          <w:bCs/>
          <w:szCs w:val="21"/>
        </w:rPr>
        <w:t>3</w:t>
      </w:r>
      <w:r w:rsidRPr="008943F1">
        <w:rPr>
          <w:rFonts w:hint="eastAsia"/>
          <w:bCs/>
          <w:szCs w:val="21"/>
        </w:rPr>
        <w:t>）</w:t>
      </w:r>
      <w:r w:rsidRPr="008943F1">
        <w:rPr>
          <w:bCs/>
          <w:szCs w:val="21"/>
        </w:rPr>
        <w:t>全国银行间债券市场交易的债券、资产支持证券等固定收益品种，采用估值技术确定公允价值。</w:t>
      </w:r>
    </w:p>
    <w:p w:rsidR="00A21F35" w:rsidRPr="008943F1" w:rsidRDefault="00A21F35" w:rsidP="00762BF7">
      <w:pPr>
        <w:spacing w:line="360" w:lineRule="auto"/>
        <w:ind w:firstLineChars="200" w:firstLine="420"/>
        <w:rPr>
          <w:bCs/>
          <w:szCs w:val="21"/>
        </w:rPr>
      </w:pPr>
      <w:r w:rsidRPr="008943F1">
        <w:rPr>
          <w:rFonts w:hint="eastAsia"/>
          <w:bCs/>
          <w:szCs w:val="21"/>
        </w:rPr>
        <w:t>（</w:t>
      </w:r>
      <w:r w:rsidRPr="008943F1">
        <w:rPr>
          <w:rFonts w:hint="eastAsia"/>
          <w:bCs/>
          <w:szCs w:val="21"/>
        </w:rPr>
        <w:t>4</w:t>
      </w:r>
      <w:r w:rsidRPr="008943F1">
        <w:rPr>
          <w:rFonts w:hint="eastAsia"/>
          <w:bCs/>
          <w:szCs w:val="21"/>
        </w:rPr>
        <w:t>）中小企业私募债券采用估值技术确定公允价值估值。如使用的估值技术难以确定和计量其公允价值的，按成本估值。同一债券同时在两个或两个以上市场交易的，按债券所处的市场分别估值。</w:t>
      </w:r>
    </w:p>
    <w:p w:rsidR="003741FE" w:rsidRPr="008943F1" w:rsidRDefault="003741FE" w:rsidP="00762BF7">
      <w:pPr>
        <w:spacing w:line="360" w:lineRule="auto"/>
        <w:ind w:firstLineChars="200" w:firstLine="420"/>
        <w:rPr>
          <w:bCs/>
          <w:szCs w:val="21"/>
        </w:rPr>
      </w:pPr>
      <w:r w:rsidRPr="008943F1">
        <w:rPr>
          <w:rFonts w:hint="eastAsia"/>
          <w:bCs/>
          <w:szCs w:val="21"/>
        </w:rPr>
        <w:t>（</w:t>
      </w:r>
      <w:r w:rsidRPr="008943F1">
        <w:rPr>
          <w:rFonts w:hint="eastAsia"/>
          <w:bCs/>
          <w:szCs w:val="21"/>
        </w:rPr>
        <w:t>5</w:t>
      </w:r>
      <w:r w:rsidRPr="008943F1">
        <w:rPr>
          <w:rFonts w:hint="eastAsia"/>
          <w:bCs/>
          <w:szCs w:val="21"/>
        </w:rPr>
        <w:t>）基金投资同业存单，按估值日第三方估值机构提供的估值净价估值；选定的第三方估值机构未提供估值价格的，按成本估值。</w:t>
      </w:r>
    </w:p>
    <w:p w:rsidR="00A21F35" w:rsidRPr="008943F1" w:rsidRDefault="00A21F35" w:rsidP="00762BF7">
      <w:pPr>
        <w:spacing w:line="360" w:lineRule="auto"/>
        <w:ind w:firstLineChars="200" w:firstLine="420"/>
        <w:rPr>
          <w:bCs/>
          <w:szCs w:val="21"/>
        </w:rPr>
      </w:pPr>
      <w:r w:rsidRPr="008943F1">
        <w:rPr>
          <w:rFonts w:hint="eastAsia"/>
          <w:bCs/>
          <w:szCs w:val="21"/>
        </w:rPr>
        <w:t>（</w:t>
      </w:r>
      <w:r w:rsidR="003741FE" w:rsidRPr="008943F1">
        <w:rPr>
          <w:rFonts w:hint="eastAsia"/>
          <w:bCs/>
          <w:szCs w:val="21"/>
        </w:rPr>
        <w:t>6</w:t>
      </w:r>
      <w:r w:rsidRPr="008943F1">
        <w:rPr>
          <w:rFonts w:hint="eastAsia"/>
          <w:bCs/>
          <w:szCs w:val="21"/>
        </w:rPr>
        <w:t>）</w:t>
      </w:r>
      <w:r w:rsidRPr="008943F1">
        <w:rPr>
          <w:bCs/>
          <w:szCs w:val="21"/>
        </w:rPr>
        <w:t>如有确凿证据表明按上述方法进行估值不能客观反映其公允价值的，基金管理人可根据具体情况与基金托管人商定后，按最能反映公允价值的价格估值。</w:t>
      </w:r>
    </w:p>
    <w:p w:rsidR="00A21F35" w:rsidRPr="008943F1" w:rsidRDefault="00A21F35" w:rsidP="00762BF7">
      <w:pPr>
        <w:spacing w:line="360" w:lineRule="auto"/>
        <w:ind w:firstLineChars="200" w:firstLine="420"/>
        <w:rPr>
          <w:bCs/>
          <w:szCs w:val="21"/>
        </w:rPr>
      </w:pPr>
      <w:r w:rsidRPr="008943F1">
        <w:rPr>
          <w:rFonts w:hint="eastAsia"/>
          <w:bCs/>
          <w:szCs w:val="21"/>
        </w:rPr>
        <w:t>（</w:t>
      </w:r>
      <w:r w:rsidR="003741FE" w:rsidRPr="008943F1">
        <w:rPr>
          <w:rFonts w:hint="eastAsia"/>
          <w:bCs/>
          <w:szCs w:val="21"/>
        </w:rPr>
        <w:t>7</w:t>
      </w:r>
      <w:r w:rsidRPr="008943F1">
        <w:rPr>
          <w:rFonts w:hint="eastAsia"/>
          <w:bCs/>
          <w:szCs w:val="21"/>
        </w:rPr>
        <w:t>）</w:t>
      </w:r>
      <w:r w:rsidRPr="008943F1">
        <w:rPr>
          <w:bCs/>
          <w:szCs w:val="21"/>
        </w:rPr>
        <w:t>相关法律法规以及监管部门有强制规定的，从其规定。如有新增事项，按国家最新规定估值。</w:t>
      </w:r>
    </w:p>
    <w:p w:rsidR="006E7E82" w:rsidRPr="008943F1" w:rsidRDefault="006E7E82" w:rsidP="00762BF7">
      <w:pPr>
        <w:adjustRightInd w:val="0"/>
        <w:snapToGrid w:val="0"/>
        <w:spacing w:line="360" w:lineRule="auto"/>
        <w:ind w:firstLine="480"/>
        <w:rPr>
          <w:rFonts w:asciiTheme="minorEastAsia" w:hAnsiTheme="minorEastAsia" w:cs="Arial"/>
          <w:szCs w:val="21"/>
        </w:rPr>
      </w:pPr>
      <w:r w:rsidRPr="008943F1">
        <w:rPr>
          <w:rFonts w:asciiTheme="minorEastAsia" w:hAnsiTheme="minorEastAsia"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6E7E82" w:rsidRPr="008943F1" w:rsidRDefault="006E7E82" w:rsidP="00762BF7">
      <w:pPr>
        <w:adjustRightInd w:val="0"/>
        <w:snapToGrid w:val="0"/>
        <w:spacing w:line="360" w:lineRule="auto"/>
        <w:ind w:firstLine="480"/>
        <w:rPr>
          <w:rFonts w:asciiTheme="minorEastAsia" w:hAnsiTheme="minorEastAsia"/>
          <w:szCs w:val="21"/>
        </w:rPr>
      </w:pPr>
      <w:r w:rsidRPr="008943F1">
        <w:rPr>
          <w:rFonts w:asciiTheme="minorEastAsia" w:hAnsiTheme="minorEastAsia"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E7E82" w:rsidRPr="008943F1" w:rsidRDefault="006E7E82" w:rsidP="00762BF7">
      <w:pPr>
        <w:adjustRightInd w:val="0"/>
        <w:snapToGrid w:val="0"/>
        <w:spacing w:line="360" w:lineRule="auto"/>
        <w:ind w:firstLine="480"/>
        <w:rPr>
          <w:rStyle w:val="read"/>
          <w:rFonts w:asciiTheme="minorEastAsia" w:hAnsiTheme="minorEastAsia" w:cs="Arial"/>
          <w:szCs w:val="21"/>
        </w:rPr>
      </w:pPr>
      <w:r w:rsidRPr="008943F1">
        <w:rPr>
          <w:rStyle w:val="read"/>
          <w:rFonts w:asciiTheme="minorEastAsia" w:hAnsiTheme="minorEastAsia" w:cs="Arial" w:hint="eastAsia"/>
          <w:szCs w:val="21"/>
        </w:rPr>
        <w:t>3.特殊情形的处理</w:t>
      </w:r>
    </w:p>
    <w:p w:rsidR="006E7E82" w:rsidRPr="008943F1" w:rsidRDefault="006E7E82" w:rsidP="00762BF7">
      <w:pPr>
        <w:adjustRightInd w:val="0"/>
        <w:snapToGrid w:val="0"/>
        <w:spacing w:line="360" w:lineRule="auto"/>
        <w:ind w:firstLineChars="200" w:firstLine="420"/>
        <w:rPr>
          <w:rStyle w:val="read"/>
          <w:rFonts w:asciiTheme="minorEastAsia" w:hAnsiTheme="minorEastAsia"/>
          <w:szCs w:val="21"/>
        </w:rPr>
      </w:pPr>
      <w:r w:rsidRPr="008943F1">
        <w:rPr>
          <w:rStyle w:val="read"/>
          <w:rFonts w:asciiTheme="minorEastAsia" w:hAnsiTheme="minorEastAsia" w:cs="Arial" w:hint="eastAsia"/>
          <w:szCs w:val="21"/>
        </w:rPr>
        <w:t>基金管理人、基金托管人按估值方法的第(</w:t>
      </w:r>
      <w:r w:rsidR="00E46D7D" w:rsidRPr="008943F1">
        <w:rPr>
          <w:rStyle w:val="read"/>
          <w:rFonts w:asciiTheme="minorEastAsia" w:hAnsiTheme="minorEastAsia" w:cs="Arial" w:hint="eastAsia"/>
          <w:szCs w:val="21"/>
        </w:rPr>
        <w:t>6</w:t>
      </w:r>
      <w:r w:rsidRPr="008943F1">
        <w:rPr>
          <w:rStyle w:val="read"/>
          <w:rFonts w:asciiTheme="minorEastAsia" w:hAnsiTheme="minorEastAsia" w:cs="Arial" w:hint="eastAsia"/>
          <w:szCs w:val="21"/>
        </w:rPr>
        <w:t>)项进行估值时，所造成的误差不作为基金份</w:t>
      </w:r>
      <w:r w:rsidRPr="008943F1">
        <w:rPr>
          <w:rStyle w:val="read"/>
          <w:rFonts w:asciiTheme="minorEastAsia" w:hAnsiTheme="minorEastAsia" w:hint="eastAsia"/>
          <w:szCs w:val="21"/>
        </w:rPr>
        <w:t>额净值错误处理。</w:t>
      </w:r>
    </w:p>
    <w:p w:rsidR="006E7E82" w:rsidRPr="008943F1" w:rsidRDefault="006E7E82" w:rsidP="00762BF7">
      <w:pPr>
        <w:adjustRightInd w:val="0"/>
        <w:snapToGrid w:val="0"/>
        <w:spacing w:line="360" w:lineRule="auto"/>
        <w:ind w:firstLineChars="200" w:firstLine="420"/>
        <w:rPr>
          <w:rStyle w:val="read"/>
          <w:rFonts w:asciiTheme="minorEastAsia" w:hAnsiTheme="minorEastAsia"/>
          <w:szCs w:val="21"/>
        </w:rPr>
      </w:pPr>
      <w:r w:rsidRPr="008943F1">
        <w:rPr>
          <w:rStyle w:val="read"/>
          <w:rFonts w:asciiTheme="minorEastAsia" w:hAnsiTheme="minorEastAsia" w:hint="eastAsia"/>
          <w:szCs w:val="21"/>
        </w:rPr>
        <w:t>（三）基金份额净值错误的处理方式</w:t>
      </w:r>
    </w:p>
    <w:p w:rsidR="006E7E82" w:rsidRPr="008943F1" w:rsidRDefault="006E7E82" w:rsidP="00762BF7">
      <w:pPr>
        <w:adjustRightInd w:val="0"/>
        <w:snapToGrid w:val="0"/>
        <w:spacing w:line="360" w:lineRule="auto"/>
        <w:ind w:firstLineChars="200" w:firstLine="420"/>
        <w:rPr>
          <w:rStyle w:val="read"/>
          <w:rFonts w:asciiTheme="minorEastAsia" w:hAnsiTheme="minorEastAsia"/>
          <w:szCs w:val="21"/>
        </w:rPr>
      </w:pPr>
      <w:r w:rsidRPr="008943F1">
        <w:rPr>
          <w:rStyle w:val="read"/>
          <w:rFonts w:asciiTheme="minorEastAsia" w:hAnsiTheme="minorEastAsia" w:hint="eastAsia"/>
          <w:szCs w:val="21"/>
        </w:rPr>
        <w:t>1.当基金份额净值小数点后</w:t>
      </w:r>
      <w:r w:rsidR="00A21F35" w:rsidRPr="008943F1">
        <w:rPr>
          <w:rStyle w:val="read"/>
          <w:rFonts w:asciiTheme="minorEastAsia" w:hAnsiTheme="minorEastAsia" w:hint="eastAsia"/>
          <w:szCs w:val="21"/>
        </w:rPr>
        <w:t>4</w:t>
      </w:r>
      <w:r w:rsidRPr="008943F1">
        <w:rPr>
          <w:rStyle w:val="read"/>
          <w:rFonts w:asciiTheme="minorEastAsia" w:hAnsiTheme="minorEastAsia" w:hint="eastAsia"/>
          <w:szCs w:val="21"/>
        </w:rPr>
        <w:t>位以内(含第</w:t>
      </w:r>
      <w:r w:rsidR="00A21F35" w:rsidRPr="008943F1">
        <w:rPr>
          <w:rStyle w:val="read"/>
          <w:rFonts w:asciiTheme="minorEastAsia" w:hAnsiTheme="minorEastAsia" w:hint="eastAsia"/>
          <w:szCs w:val="21"/>
        </w:rPr>
        <w:t>4</w:t>
      </w:r>
      <w:r w:rsidRPr="008943F1">
        <w:rPr>
          <w:rStyle w:val="read"/>
          <w:rFonts w:asciiTheme="minorEastAsia" w:hAnsiTheme="minorEastAsia" w:hint="eastAsia"/>
          <w:szCs w:val="21"/>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943F1">
        <w:rPr>
          <w:rFonts w:asciiTheme="minorEastAsia" w:hAnsiTheme="minorEastAsia" w:cs="Arial" w:hint="eastAsia"/>
          <w:szCs w:val="21"/>
        </w:rPr>
        <w:t>；错误偏差达到基金份额净值的</w:t>
      </w:r>
      <w:r w:rsidRPr="008943F1">
        <w:rPr>
          <w:rFonts w:asciiTheme="minorEastAsia" w:hAnsiTheme="minorEastAsia" w:hint="eastAsia"/>
          <w:szCs w:val="21"/>
        </w:rPr>
        <w:t>0.5%时，基金管理人应当公告</w:t>
      </w:r>
      <w:r w:rsidRPr="008943F1">
        <w:rPr>
          <w:rStyle w:val="read"/>
          <w:rFonts w:asciiTheme="minorEastAsia" w:hAnsiTheme="minorEastAsia" w:hint="eastAsia"/>
          <w:szCs w:val="21"/>
        </w:rPr>
        <w:t>；当发生净值计算错误时，由基金管理人负责处理，由此给基金份额持有人和基金造成损失的，应由基金管理人先行赔付，基金管理人按差错情形，有权向其他当事人追偿。</w:t>
      </w:r>
    </w:p>
    <w:p w:rsidR="006E7E82" w:rsidRPr="008943F1" w:rsidRDefault="006E7E82" w:rsidP="00762BF7">
      <w:pPr>
        <w:adjustRightInd w:val="0"/>
        <w:snapToGrid w:val="0"/>
        <w:spacing w:line="360" w:lineRule="auto"/>
        <w:ind w:firstLineChars="200" w:firstLine="420"/>
        <w:rPr>
          <w:rStyle w:val="read"/>
          <w:rFonts w:asciiTheme="minorEastAsia" w:hAnsiTheme="minorEastAsia"/>
          <w:szCs w:val="21"/>
        </w:rPr>
      </w:pPr>
      <w:r w:rsidRPr="008943F1">
        <w:rPr>
          <w:rStyle w:val="read"/>
          <w:rFonts w:asciiTheme="minorEastAsia" w:hAnsiTheme="minorEastAsia" w:hint="eastAsia"/>
          <w:szCs w:val="21"/>
        </w:rPr>
        <w:lastRenderedPageBreak/>
        <w:t>2.当基金份额净值计算差错给基金和基金份额持有人造成损失需要进行赔偿时，基金管理人和基金托管人应根据实际情况界定双方承担的责任，经确认后按以下条款进行赔偿：</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Style w:val="read"/>
          <w:rFonts w:asciiTheme="minorEastAsia" w:hAnsiTheme="minorEastAsia"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w:t>
      </w:r>
      <w:r w:rsidRPr="008943F1">
        <w:rPr>
          <w:rFonts w:asciiTheme="minorEastAsia" w:hAnsiTheme="minorEastAsia" w:cs="Arial" w:hint="eastAsia"/>
          <w:szCs w:val="21"/>
        </w:rPr>
        <w:t>损失，由基金管理人负责赔付。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w:t>
      </w:r>
      <w:proofErr w:type="gramStart"/>
      <w:r w:rsidRPr="008943F1">
        <w:rPr>
          <w:rFonts w:asciiTheme="minorEastAsia" w:hAnsiTheme="minorEastAsia" w:hint="eastAsia"/>
          <w:kern w:val="0"/>
          <w:szCs w:val="21"/>
        </w:rPr>
        <w:t>若基金</w:t>
      </w:r>
      <w:proofErr w:type="gramEnd"/>
      <w:r w:rsidRPr="008943F1">
        <w:rPr>
          <w:rFonts w:asciiTheme="minorEastAsia" w:hAnsiTheme="minorEastAsia" w:hint="eastAsia"/>
          <w:kern w:val="0"/>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w:t>
      </w:r>
      <w:r w:rsidRPr="008943F1">
        <w:rPr>
          <w:rFonts w:asciiTheme="minorEastAsia" w:hAnsiTheme="minorEastAsia"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4.基金管理人和基金托管人由于各自技术系统设置而产生的净值计算尾差，以基金管理人计算结果为准。</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5.前述内容如法律法规或者监管部门另有规定的，从其规定。如果行业另有通行做法，双方当事人应本着平等和保护基金份额持有人利益的原则进行协商。</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（四）暂停估值与公告基金份额净值的情形</w:t>
      </w:r>
    </w:p>
    <w:p w:rsidR="00A21F35" w:rsidRPr="008943F1" w:rsidRDefault="00A21F35"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szCs w:val="21"/>
        </w:rPr>
        <w:t>1、基金投资所涉及的证券交易市场遇法定节假日或因其他原因暂停营业时；</w:t>
      </w:r>
    </w:p>
    <w:p w:rsidR="00A21F35" w:rsidRPr="008943F1" w:rsidRDefault="00A21F35"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szCs w:val="21"/>
        </w:rPr>
        <w:t>2、因不可抗力致使基金管理人、基金托管人无法准确评估基金资产价值时；</w:t>
      </w:r>
    </w:p>
    <w:p w:rsidR="00A21F35" w:rsidRPr="008943F1" w:rsidRDefault="00BB0AB8" w:rsidP="00762BF7">
      <w:pPr>
        <w:adjustRightInd w:val="0"/>
        <w:snapToGrid w:val="0"/>
        <w:spacing w:line="360" w:lineRule="auto"/>
        <w:ind w:firstLineChars="200" w:firstLine="420"/>
        <w:rPr>
          <w:rFonts w:asciiTheme="minorEastAsia" w:hAnsiTheme="minorEastAsia" w:cs="Arial"/>
          <w:szCs w:val="21"/>
        </w:rPr>
      </w:pPr>
      <w:r>
        <w:rPr>
          <w:rFonts w:asciiTheme="minorEastAsia" w:hAnsiTheme="minorEastAsia" w:cs="Arial" w:hint="eastAsia"/>
          <w:szCs w:val="21"/>
        </w:rPr>
        <w:t>3</w:t>
      </w:r>
      <w:r w:rsidR="00A21F35" w:rsidRPr="008943F1">
        <w:rPr>
          <w:rFonts w:asciiTheme="minorEastAsia" w:hAnsiTheme="minorEastAsia" w:cs="Arial" w:hint="eastAsia"/>
          <w:szCs w:val="21"/>
        </w:rPr>
        <w:t>、</w:t>
      </w:r>
      <w:r w:rsidR="00A21F35" w:rsidRPr="008943F1">
        <w:rPr>
          <w:rFonts w:asciiTheme="minorEastAsia" w:hAnsiTheme="minorEastAsia" w:cs="Arial"/>
          <w:szCs w:val="21"/>
        </w:rPr>
        <w:t>中国证监会和基金合同认定的其它情形。</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（五）基金会计制度</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按国家有关部门规定的会计制度执行。</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（六）基金账册的建立</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基金管理人进行基金会计核算并编制基金财务会计报告。基金管理人独立地设置、记录和保管本基金的全套账册。</w:t>
      </w:r>
      <w:proofErr w:type="gramStart"/>
      <w:r w:rsidRPr="008943F1">
        <w:rPr>
          <w:rFonts w:asciiTheme="minorEastAsia" w:hAnsiTheme="minorEastAsia" w:hint="eastAsia"/>
          <w:kern w:val="0"/>
          <w:szCs w:val="21"/>
        </w:rPr>
        <w:t>若基金</w:t>
      </w:r>
      <w:proofErr w:type="gramEnd"/>
      <w:r w:rsidRPr="008943F1">
        <w:rPr>
          <w:rFonts w:asciiTheme="minorEastAsia" w:hAnsiTheme="minorEastAsia" w:hint="eastAsia"/>
          <w:kern w:val="0"/>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（七）基金财务报表与报告的编制和复核</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lastRenderedPageBreak/>
        <w:t>1.财务报表的编制</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基金财务报表由基金管理人编制，基金托管人复核。</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2.报表复核</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基金托管人在收到基金管理人编制的基金财务报表后，进行独立的复核。核对不符时，应及时通知基金管理人共同查出原因，进行调整，直至双方数据完全一致。</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3.财务报表的编制与复核时间安排</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(1)报表的编制</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(2)报表的复核</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基金管理人应留足充分的时间，便于基金托管人复核相关报表及报告。</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（八）基金管理人应在编制季度报告、半年度报告或者年度报告之前及时向基金托管人提供基金业绩比较基准的基础数据和编制结果。</w:t>
      </w:r>
    </w:p>
    <w:p w:rsidR="006E7E82" w:rsidRPr="008943F1" w:rsidRDefault="006E7E82" w:rsidP="00762BF7">
      <w:pPr>
        <w:pStyle w:val="a0"/>
        <w:adjustRightInd w:val="0"/>
        <w:snapToGrid w:val="0"/>
        <w:spacing w:line="360" w:lineRule="auto"/>
        <w:ind w:firstLineChars="0" w:firstLine="0"/>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87" w:name="_Toc124325893"/>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九、基金收益分配</w:t>
      </w:r>
      <w:bookmarkEnd w:id="87"/>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基金收益分配是指按规定将基金的可分配收益按基金份额进行比例分配。</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（一）基金收益分配的原则</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基金收益分配应遵循下列原则：</w:t>
      </w:r>
    </w:p>
    <w:p w:rsidR="00A21F35" w:rsidRPr="008943F1" w:rsidRDefault="00A21F35" w:rsidP="00762BF7">
      <w:pPr>
        <w:spacing w:line="360" w:lineRule="auto"/>
        <w:ind w:firstLineChars="225" w:firstLine="473"/>
        <w:rPr>
          <w:bCs/>
          <w:szCs w:val="21"/>
        </w:rPr>
      </w:pPr>
      <w:r w:rsidRPr="008943F1">
        <w:rPr>
          <w:bCs/>
          <w:szCs w:val="21"/>
        </w:rPr>
        <w:t>1</w:t>
      </w:r>
      <w:r w:rsidRPr="008943F1">
        <w:rPr>
          <w:rFonts w:hint="eastAsia"/>
          <w:bCs/>
          <w:szCs w:val="21"/>
        </w:rPr>
        <w:t>、在符合有关基金分红条件的前提下，本基金管理人可以根据实际情况进行收益分配，具体分配方案以公告为准，若《基金合同》生效不满</w:t>
      </w:r>
      <w:r w:rsidRPr="008943F1">
        <w:rPr>
          <w:bCs/>
          <w:szCs w:val="21"/>
        </w:rPr>
        <w:t>3</w:t>
      </w:r>
      <w:r w:rsidRPr="008943F1">
        <w:rPr>
          <w:rFonts w:hint="eastAsia"/>
          <w:bCs/>
          <w:szCs w:val="21"/>
        </w:rPr>
        <w:t>个月可不进行收益分配；</w:t>
      </w:r>
    </w:p>
    <w:p w:rsidR="00A21F35" w:rsidRPr="008943F1" w:rsidRDefault="00A21F35" w:rsidP="00762BF7">
      <w:pPr>
        <w:spacing w:line="360" w:lineRule="auto"/>
        <w:ind w:firstLineChars="225" w:firstLine="473"/>
        <w:rPr>
          <w:bCs/>
          <w:szCs w:val="21"/>
        </w:rPr>
      </w:pPr>
      <w:r w:rsidRPr="008943F1">
        <w:rPr>
          <w:bCs/>
          <w:szCs w:val="21"/>
        </w:rPr>
        <w:t>2</w:t>
      </w:r>
      <w:r w:rsidRPr="008943F1">
        <w:rPr>
          <w:bCs/>
          <w:szCs w:val="21"/>
        </w:rPr>
        <w:t>、本基金收益分配</w:t>
      </w:r>
      <w:r w:rsidRPr="008943F1">
        <w:rPr>
          <w:rFonts w:hint="eastAsia"/>
          <w:bCs/>
          <w:szCs w:val="21"/>
        </w:rPr>
        <w:t>采用现金方式；</w:t>
      </w:r>
    </w:p>
    <w:p w:rsidR="00A21F35" w:rsidRPr="008943F1" w:rsidRDefault="00A21F35" w:rsidP="00762BF7">
      <w:pPr>
        <w:spacing w:line="360" w:lineRule="auto"/>
        <w:ind w:firstLineChars="225" w:firstLine="473"/>
        <w:rPr>
          <w:bCs/>
          <w:szCs w:val="21"/>
        </w:rPr>
      </w:pPr>
      <w:r w:rsidRPr="008943F1">
        <w:rPr>
          <w:bCs/>
          <w:szCs w:val="21"/>
        </w:rPr>
        <w:t>3</w:t>
      </w:r>
      <w:r w:rsidRPr="008943F1">
        <w:rPr>
          <w:bCs/>
          <w:szCs w:val="21"/>
        </w:rPr>
        <w:t>、基金收益分配后基金份额净值不能低于面值</w:t>
      </w:r>
      <w:r w:rsidRPr="008943F1">
        <w:rPr>
          <w:rFonts w:hint="eastAsia"/>
          <w:bCs/>
          <w:szCs w:val="21"/>
        </w:rPr>
        <w:t>，</w:t>
      </w:r>
      <w:r w:rsidRPr="008943F1">
        <w:rPr>
          <w:bCs/>
          <w:szCs w:val="21"/>
        </w:rPr>
        <w:t>即基金收益分配基准日的基金份额净值减去每单位基金份额收益分配金额后不能低于面值</w:t>
      </w:r>
      <w:r w:rsidRPr="008943F1">
        <w:rPr>
          <w:rFonts w:hint="eastAsia"/>
          <w:bCs/>
          <w:szCs w:val="21"/>
        </w:rPr>
        <w:t>；</w:t>
      </w:r>
    </w:p>
    <w:p w:rsidR="00A21F35" w:rsidRPr="008943F1" w:rsidRDefault="00A21F35" w:rsidP="00762BF7">
      <w:pPr>
        <w:spacing w:line="360" w:lineRule="auto"/>
        <w:ind w:firstLineChars="225" w:firstLine="473"/>
        <w:rPr>
          <w:bCs/>
          <w:szCs w:val="21"/>
        </w:rPr>
      </w:pPr>
      <w:r w:rsidRPr="008943F1">
        <w:rPr>
          <w:bCs/>
          <w:szCs w:val="21"/>
        </w:rPr>
        <w:t>4</w:t>
      </w:r>
      <w:r w:rsidRPr="008943F1">
        <w:rPr>
          <w:bCs/>
          <w:szCs w:val="21"/>
        </w:rPr>
        <w:t>、每一基金份额享有同等分配权；</w:t>
      </w:r>
    </w:p>
    <w:p w:rsidR="00A21F35" w:rsidRPr="008943F1" w:rsidRDefault="00A21F35" w:rsidP="00762BF7">
      <w:pPr>
        <w:spacing w:line="360" w:lineRule="auto"/>
        <w:ind w:firstLineChars="225" w:firstLine="473"/>
        <w:rPr>
          <w:bCs/>
          <w:szCs w:val="21"/>
        </w:rPr>
      </w:pPr>
      <w:r w:rsidRPr="008943F1">
        <w:rPr>
          <w:bCs/>
          <w:szCs w:val="21"/>
        </w:rPr>
        <w:t>5</w:t>
      </w:r>
      <w:r w:rsidRPr="008943F1">
        <w:rPr>
          <w:bCs/>
          <w:szCs w:val="21"/>
        </w:rPr>
        <w:t>、法律法规或监管机关另有规定的，从其规定。</w:t>
      </w:r>
    </w:p>
    <w:p w:rsidR="00A21F35" w:rsidRPr="008943F1" w:rsidRDefault="00A21F35" w:rsidP="00762BF7">
      <w:pPr>
        <w:spacing w:line="360" w:lineRule="auto"/>
        <w:ind w:firstLineChars="200" w:firstLine="420"/>
        <w:rPr>
          <w:bCs/>
          <w:szCs w:val="21"/>
        </w:rPr>
      </w:pPr>
      <w:r w:rsidRPr="008943F1">
        <w:t>在对基金份额持有人利益无实质不利影响的前提下，基金管理人可调整基金收益分配原则和支付方式，不需召开基金份额持有人大会</w:t>
      </w:r>
      <w:r w:rsidRPr="008943F1">
        <w:rPr>
          <w:rFonts w:hint="eastAsia"/>
        </w:rPr>
        <w:t>。</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（二）基金收益分配的时间和程序</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本基金收益分配方案由基金管理人拟订，并由基金托管人复核，在2个工作日内在指定媒体公告并报中国证监会备案。基金红利发放</w:t>
      </w:r>
      <w:proofErr w:type="gramStart"/>
      <w:r w:rsidRPr="008943F1">
        <w:rPr>
          <w:rFonts w:asciiTheme="minorEastAsia" w:hAnsiTheme="minorEastAsia" w:hint="eastAsia"/>
          <w:kern w:val="0"/>
          <w:szCs w:val="21"/>
        </w:rPr>
        <w:t>日距离</w:t>
      </w:r>
      <w:proofErr w:type="gramEnd"/>
      <w:r w:rsidRPr="008943F1">
        <w:rPr>
          <w:rFonts w:asciiTheme="minorEastAsia" w:hAnsiTheme="minorEastAsia" w:hint="eastAsia"/>
          <w:kern w:val="0"/>
          <w:szCs w:val="21"/>
        </w:rPr>
        <w:t>收益分配基准日（即可供分配利润计算截止日）的时间不得超过15个工作日。基金收益分配方案公告后(依据具体方案的规定)，基金管理人就支付的现金红利向基金托管人发送划款指令，基金托管人按照基金管理人的指令及时进行分红资金的划付。</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88" w:name="_Toc124325894"/>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十、基金信息披露</w:t>
      </w:r>
      <w:bookmarkEnd w:id="88"/>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（一）保密义务</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1.非因基金管理人和基金托管人的原因导致保密信息被披露、泄露或公开；</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2.基金管理人和基金托管人为遵守和服从法院判决或裁定、仲裁裁决或中国证监会等监管机构的命令、决定所做出的信息披露或公开。</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（二）信息披露的内容</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（三）基金托管人和基金管理人在信息披露中的职责和信息披露程序</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1.职责</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对于不需要基金托管人复核的信息，基金管理人在公告前应告知基金托管人。</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基金管理人和基金托管人应积极配合、互相监督，保证其履行按照法定方式和限时披露的义务。</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当出现下述情况时，基金管理人和基金托管人可暂停或延迟披露基金相关信息：</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(1)不可抗力；</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(2)基金投资所涉及的证券交易市场遇法定节假日或因其他原因暂停营业时；</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(3)出现基金管理人认为属于会导致基金管理人不能出售或评估基金资产的紧急事故的任何情况；</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lastRenderedPageBreak/>
        <w:t>(4)法律法规、《基金合同》或中国证监会规定的情况。</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2.程序</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按有关规定须经基金托管人复核的信息披露文件，由基金管理人起草、并经基金托管人复核后由基金管理人公告。发生《基金合同》中规定需要披露的事项时，按《基金合同》规定公布。</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3.信息文本的存放</w:t>
      </w:r>
    </w:p>
    <w:p w:rsidR="006E7E82" w:rsidRPr="008943F1" w:rsidRDefault="006E7E82" w:rsidP="00762BF7">
      <w:pPr>
        <w:adjustRightInd w:val="0"/>
        <w:snapToGrid w:val="0"/>
        <w:spacing w:line="360" w:lineRule="auto"/>
        <w:ind w:firstLineChars="200" w:firstLine="420"/>
        <w:rPr>
          <w:rFonts w:asciiTheme="minorEastAsia" w:hAnsiTheme="minorEastAsia"/>
          <w:kern w:val="0"/>
          <w:szCs w:val="21"/>
        </w:rPr>
      </w:pPr>
      <w:r w:rsidRPr="008943F1">
        <w:rPr>
          <w:rFonts w:asciiTheme="minorEastAsia" w:hAnsiTheme="minorEastAsia" w:hint="eastAsia"/>
          <w:kern w:val="0"/>
          <w:szCs w:val="21"/>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6E7E82" w:rsidRPr="008943F1" w:rsidRDefault="006E7E82" w:rsidP="00762BF7">
      <w:pPr>
        <w:pStyle w:val="a0"/>
        <w:spacing w:line="360" w:lineRule="auto"/>
        <w:ind w:firstLineChars="0" w:firstLine="0"/>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89" w:name="_Toc124325895"/>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十一、基金费用</w:t>
      </w:r>
      <w:bookmarkEnd w:id="89"/>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（一）基金管理费的计提比例和计提方法</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本基金的管理费按前一日基金资产净值的</w:t>
      </w:r>
      <w:r w:rsidR="00A21F35" w:rsidRPr="008943F1">
        <w:rPr>
          <w:rFonts w:asciiTheme="minorEastAsia" w:hAnsiTheme="minorEastAsia" w:cs="Arial" w:hint="eastAsia"/>
          <w:szCs w:val="21"/>
        </w:rPr>
        <w:t>0.7</w:t>
      </w:r>
      <w:r w:rsidRPr="008943F1">
        <w:rPr>
          <w:rFonts w:asciiTheme="minorEastAsia" w:hAnsiTheme="minorEastAsia" w:cs="Arial" w:hint="eastAsia"/>
          <w:szCs w:val="21"/>
        </w:rPr>
        <w:t>%年费率计提。管理费的计算方法如下：</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H＝E×年管理费率÷当年天数</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H为每日应计提的基金管理费</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E为前一日的基金资产净值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（二）基金托管费的计提比例和计提方法</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本基金的托管费按前一日基金资产净值的</w:t>
      </w:r>
      <w:r w:rsidR="00A21F35" w:rsidRPr="008943F1">
        <w:rPr>
          <w:rFonts w:asciiTheme="minorEastAsia" w:hAnsiTheme="minorEastAsia" w:cs="Arial" w:hint="eastAsia"/>
          <w:szCs w:val="21"/>
        </w:rPr>
        <w:t>0.</w:t>
      </w:r>
      <w:r w:rsidR="00F71402" w:rsidRPr="008943F1">
        <w:rPr>
          <w:rFonts w:asciiTheme="minorEastAsia" w:hAnsiTheme="minorEastAsia" w:cs="Arial" w:hint="eastAsia"/>
          <w:szCs w:val="21"/>
        </w:rPr>
        <w:t>2</w:t>
      </w:r>
      <w:r w:rsidRPr="008943F1">
        <w:rPr>
          <w:rFonts w:asciiTheme="minorEastAsia" w:hAnsiTheme="minorEastAsia" w:cs="Arial" w:hint="eastAsia"/>
          <w:szCs w:val="21"/>
        </w:rPr>
        <w:t>%年费率计提。托管费的计算方法如下：</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H＝E×年托管费率÷当年天数</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H为每日应计提的基金托管费</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E为前一日的基金资产净值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（四）不列入基金费用的项目</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（五）基金管理费和基金托管费的调整</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基金管理人和基金托管人可协商酌情降低基金管理费和基金托管费，此项调整不需要基金份额持有人大会决议通过。基金管理人必须最迟于新的费率实施日2日前在指定媒体上刊登公告。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（六）基金管理费和基金托管费的复核程序、支付方式和时间</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1.复核程序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基金托管人对基金管理人计提的基金管理费和基金托管费等，根据本托管协议和《基金合同》的有关规定进行复核。</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2.支付方式和时间</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基金管理费、基金托管费每日计提，按月支付。由基金托管人根据与基金管理人核对一致的财务数据，自动在月初5</w:t>
      </w:r>
      <w:proofErr w:type="gramStart"/>
      <w:r w:rsidRPr="008943F1">
        <w:rPr>
          <w:rFonts w:asciiTheme="minorEastAsia" w:hAnsiTheme="minorEastAsia" w:cs="Arial" w:hint="eastAsia"/>
          <w:szCs w:val="21"/>
        </w:rPr>
        <w:t>个</w:t>
      </w:r>
      <w:proofErr w:type="gramEnd"/>
      <w:r w:rsidRPr="008943F1">
        <w:rPr>
          <w:rFonts w:asciiTheme="minorEastAsia" w:hAnsiTheme="minorEastAsia" w:cs="Arial" w:hint="eastAsia"/>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在首期支付基金管理费前，基金管理人应向托管人出具正式函件指定基金管理费的收款</w:t>
      </w:r>
      <w:r w:rsidRPr="008943F1">
        <w:rPr>
          <w:rFonts w:asciiTheme="minorEastAsia" w:hAnsiTheme="minorEastAsia" w:cs="Arial" w:hint="eastAsia"/>
          <w:szCs w:val="21"/>
        </w:rPr>
        <w:lastRenderedPageBreak/>
        <w:t>账户。基金管理人如需要</w:t>
      </w:r>
      <w:proofErr w:type="gramStart"/>
      <w:r w:rsidRPr="008943F1">
        <w:rPr>
          <w:rFonts w:asciiTheme="minorEastAsia" w:hAnsiTheme="minorEastAsia" w:cs="Arial" w:hint="eastAsia"/>
          <w:szCs w:val="21"/>
        </w:rPr>
        <w:t>变更此</w:t>
      </w:r>
      <w:proofErr w:type="gramEnd"/>
      <w:r w:rsidRPr="008943F1">
        <w:rPr>
          <w:rFonts w:asciiTheme="minorEastAsia" w:hAnsiTheme="minorEastAsia" w:cs="Arial" w:hint="eastAsia"/>
          <w:szCs w:val="21"/>
        </w:rPr>
        <w:t>账户，应提前5个工作日向托管人出具书面的收款账户变更通知。</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（七）违规处理方式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0" w:name="_Toc124325896"/>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十二、基金份额持有人名册的保管</w:t>
      </w:r>
      <w:bookmarkEnd w:id="90"/>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在基金托管人要求或编制半年报和年报前，基金管理人应将有关资料送交基金托管人，不得无故拒绝或延误提供，并保证其真实性、准确性和完整性。</w:t>
      </w:r>
      <w:r w:rsidRPr="008943F1">
        <w:rPr>
          <w:rFonts w:asciiTheme="minorEastAsia" w:hAnsiTheme="minorEastAsia" w:hint="eastAsia"/>
          <w:kern w:val="0"/>
          <w:szCs w:val="21"/>
        </w:rPr>
        <w:t>基金托管人不得将所保管的基金份额持有人名册用于基金托管业务以外的其他用途，并应遵守保密义务。</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1" w:name="_Toc124325897"/>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十三、基金有关文件档案的保存</w:t>
      </w:r>
      <w:bookmarkEnd w:id="91"/>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（一）档案保存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（二）合同档案的建立</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1.基金管理人签署重大合同文本后，应及时将合同文本正本送达基金托管人处。</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2.基金管理人应及时将与本基金账务处理、资金划拨等有关的合同、协议传真基金托管人。</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（三）变更与协助</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proofErr w:type="gramStart"/>
      <w:r w:rsidRPr="008943F1">
        <w:rPr>
          <w:rFonts w:asciiTheme="minorEastAsia" w:hAnsiTheme="minorEastAsia" w:cs="Arial" w:hint="eastAsia"/>
          <w:szCs w:val="21"/>
        </w:rPr>
        <w:t>若基金</w:t>
      </w:r>
      <w:proofErr w:type="gramEnd"/>
      <w:r w:rsidRPr="008943F1">
        <w:rPr>
          <w:rFonts w:asciiTheme="minorEastAsia" w:hAnsiTheme="minorEastAsia" w:cs="Arial" w:hint="eastAsia"/>
          <w:szCs w:val="21"/>
        </w:rPr>
        <w:t>管理人/基金托管人发生变更，未变更的一方有义务协助变更后的接任人接收相应文件。</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（四）基金管理人和基金托管人应按各自职责完整保存原始凭证、记账凭证、基金账册、交易记录和重要合同等，承担保密义务并保存至少十五年以上。</w:t>
      </w:r>
    </w:p>
    <w:p w:rsidR="006E7E82" w:rsidRPr="008943F1" w:rsidRDefault="006E7E82" w:rsidP="00762BF7">
      <w:pPr>
        <w:adjustRightInd w:val="0"/>
        <w:snapToGrid w:val="0"/>
        <w:spacing w:line="360" w:lineRule="auto"/>
        <w:rPr>
          <w:rFonts w:asciiTheme="minorEastAsia" w:hAnsiTheme="minorEastAsia"/>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2" w:name="_Toc124325898"/>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十四、基金管理人和基金托管人的更换</w:t>
      </w:r>
      <w:bookmarkEnd w:id="92"/>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（一）基金管理人职责终止的情形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1.基金管理人职责终止的情形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有下列情形之一的，基金管理人职责终止：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(1)被依法取消基金管理资格；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(2)依法解散、被依法撤销或被依法宣告破产；</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(3)被基金份额持有人大会解任；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(4)法律法规及中国证监会规定的和《基金合同》约定的其他情形。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2.基金管理人的更换程序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更换基金管理人必须依照如下程序进行：</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(1)提名：</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管理人由基金托管人</w:t>
      </w:r>
      <w:r w:rsidRPr="008943F1">
        <w:rPr>
          <w:rFonts w:asciiTheme="minorEastAsia" w:hAnsiTheme="minorEastAsia" w:hint="eastAsia"/>
          <w:szCs w:val="21"/>
        </w:rPr>
        <w:t>或由单独或合计持有10%以上(含10%)基金份额的基金份额持有人</w:t>
      </w:r>
      <w:r w:rsidRPr="008943F1">
        <w:rPr>
          <w:rFonts w:asciiTheme="minorEastAsia" w:hAnsiTheme="minorEastAsia" w:cs="Arial" w:hint="eastAsia"/>
          <w:szCs w:val="21"/>
        </w:rPr>
        <w:t>提名；</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(2)决议：基金份额持有人大会在基金管理人职责终止后6个月内对被提名的基金管理人形成决议，该决议需经参加大会的基金份额持有人所持表决权的三分之二以上(含三分之二)表决通过；</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(3)临时基金管理人：</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管理人产生之前，由中国证监会指定临时基金管理人；</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(4)备案：基金份额持有人大会选任基金管理人的决议须报中国证监会备案；</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(5)公告：基金管理人更换后，由基金托管人在更换基金管理人的基金份额持有人大会决议生效后2个工作日内在指定媒介公告；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(6)交接：基金管理人职责终止的，基金管理人应妥善保管基金管理业务资料，及时向临时基金管理人或</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管理人办理基金管理业务的移交手续，临时基金管理人或</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管理人应及时接收。临时基金管理人或</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管理人应与基金托管人核对基金资产总值；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(7)审计：基金管理人职责终止的，应当按照法律法规规定聘请会计师事务所对基金财产进行审计，并将审计结果予以公告，同时报中国证监会备案；</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(8)基金名称变更：基金管理人更换后，如果原任或</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管理人要求，应按其要求替换或删除基金名称中与</w:t>
      </w:r>
      <w:proofErr w:type="gramStart"/>
      <w:r w:rsidRPr="008943F1">
        <w:rPr>
          <w:rFonts w:asciiTheme="minorEastAsia" w:hAnsiTheme="minorEastAsia" w:cs="Arial" w:hint="eastAsia"/>
          <w:szCs w:val="21"/>
        </w:rPr>
        <w:t>原基金</w:t>
      </w:r>
      <w:proofErr w:type="gramEnd"/>
      <w:r w:rsidRPr="008943F1">
        <w:rPr>
          <w:rFonts w:asciiTheme="minorEastAsia" w:hAnsiTheme="minorEastAsia" w:cs="Arial" w:hint="eastAsia"/>
          <w:szCs w:val="21"/>
        </w:rPr>
        <w:t>管理人有关的名称字样。</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（二）基金托管人职责终止的情形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1.基金托管人职责终止的情形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有下列情形之一的，基金托管人职责终止：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(1)被依法取消基金托管资格；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(2)依法解散、被依法撤销或被依法宣告破产；</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(3)被基金份额持有人大会解任；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(4)法律法规及中国证监会规定的和《基金合同》约定的其他情形。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lastRenderedPageBreak/>
        <w:t>2.基金托管人的更换程序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(1)提名：</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托管人由基金管理人</w:t>
      </w:r>
      <w:r w:rsidRPr="008943F1">
        <w:rPr>
          <w:rFonts w:asciiTheme="minorEastAsia" w:hAnsiTheme="minorEastAsia" w:hint="eastAsia"/>
          <w:szCs w:val="21"/>
        </w:rPr>
        <w:t>或由单独或合计持有10%以上(含10%)基金份额的基金份额持有人</w:t>
      </w:r>
      <w:r w:rsidRPr="008943F1">
        <w:rPr>
          <w:rFonts w:asciiTheme="minorEastAsia" w:hAnsiTheme="minorEastAsia" w:cs="Arial" w:hint="eastAsia"/>
          <w:szCs w:val="21"/>
        </w:rPr>
        <w:t>提名；</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(2)决议：基金份额持有人大会在基金托管人职责终止后6个月内对被提名的基金托管人形成决议，该决议需经参加大会的基金份额持有人所持表决权的三分之二以上(含三分之二)表决通过；</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(3)临时基金托管人：</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托管人产生之前，由中国证监会指定临时基金托管人；</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(4)备案：基金份额持有人大会更换基金托管人的决议须报中国证监会备案；</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(5)公告：基金托管人更换后，由基金管理人在更换基金托管人的基金份额持有人大会决议生效后 2个工作日内在指定媒介公告；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(6)交接：基金托管人职责终止的，应当妥善保管基金财产和基金托管业务资料，及时办理基金财产和基金托管业务的移交手续，</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托管人或者临时基金托管人应当及时接收。</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托管人或临时基金托管人与基金管理人核对基金资产总值；</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(7)审计：基金托管人职责终止的，应当按照法律法规规定聘请会计师事务所对基金财产进行审计，并将审计结果予以公告，同时报中国证监会备案。</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（三）基金管理人与基金托管人同时更换的条件和程序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1.提名：如果基金管理人和基金托管人同时更换，由单独或合计持有基金总份额10%以上(含10%)的基金份额持有人提名新的基金管理人和基金托管人；</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2.基金管理人和基金托管人的更换分别按上述程序进行；</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3.公告：</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管理人和</w:t>
      </w:r>
      <w:proofErr w:type="gramStart"/>
      <w:r w:rsidRPr="008943F1">
        <w:rPr>
          <w:rFonts w:asciiTheme="minorEastAsia" w:hAnsiTheme="minorEastAsia" w:cs="Arial" w:hint="eastAsia"/>
          <w:szCs w:val="21"/>
        </w:rPr>
        <w:t>新任基金</w:t>
      </w:r>
      <w:proofErr w:type="gramEnd"/>
      <w:r w:rsidRPr="008943F1">
        <w:rPr>
          <w:rFonts w:asciiTheme="minorEastAsia" w:hAnsiTheme="minorEastAsia" w:cs="Arial" w:hint="eastAsia"/>
          <w:szCs w:val="21"/>
        </w:rPr>
        <w:t>托管人应在更换基金管理人和基金托管人的基金份额持有人大会决议生效后2</w:t>
      </w:r>
      <w:r w:rsidR="002E2D4D" w:rsidRPr="008943F1">
        <w:rPr>
          <w:rFonts w:asciiTheme="minorEastAsia" w:hAnsiTheme="minorEastAsia" w:cs="Arial" w:hint="eastAsia"/>
          <w:szCs w:val="21"/>
        </w:rPr>
        <w:t>个工作</w:t>
      </w:r>
      <w:r w:rsidRPr="008943F1">
        <w:rPr>
          <w:rFonts w:asciiTheme="minorEastAsia" w:hAnsiTheme="minorEastAsia" w:cs="Arial" w:hint="eastAsia"/>
          <w:szCs w:val="21"/>
        </w:rPr>
        <w:t>日内在指定媒介上联合公告。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（四）新任或临时基金管理人接收基金管理业务或新任或临时基金托管人接收基金财产和基金托管业务前，</w:t>
      </w:r>
      <w:proofErr w:type="gramStart"/>
      <w:r w:rsidRPr="008943F1">
        <w:rPr>
          <w:rFonts w:asciiTheme="minorEastAsia" w:hAnsiTheme="minorEastAsia" w:cs="Arial" w:hint="eastAsia"/>
          <w:szCs w:val="21"/>
        </w:rPr>
        <w:t>原基金</w:t>
      </w:r>
      <w:proofErr w:type="gramEnd"/>
      <w:r w:rsidRPr="008943F1">
        <w:rPr>
          <w:rFonts w:asciiTheme="minorEastAsia" w:hAnsiTheme="minorEastAsia" w:cs="Arial" w:hint="eastAsia"/>
          <w:szCs w:val="21"/>
        </w:rPr>
        <w:t>管理人或</w:t>
      </w:r>
      <w:proofErr w:type="gramStart"/>
      <w:r w:rsidRPr="008943F1">
        <w:rPr>
          <w:rFonts w:asciiTheme="minorEastAsia" w:hAnsiTheme="minorEastAsia" w:cs="Arial" w:hint="eastAsia"/>
          <w:szCs w:val="21"/>
        </w:rPr>
        <w:t>原基金</w:t>
      </w:r>
      <w:proofErr w:type="gramEnd"/>
      <w:r w:rsidRPr="008943F1">
        <w:rPr>
          <w:rFonts w:asciiTheme="minorEastAsia" w:hAnsiTheme="minorEastAsia" w:cs="Arial" w:hint="eastAsia"/>
          <w:szCs w:val="21"/>
        </w:rPr>
        <w:t>托管人应继续履行相关职责，并保证不做出对基金份额持有人的利益造成损害的行为。</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3" w:name="_Toc124325899"/>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十五、禁止行为</w:t>
      </w:r>
      <w:bookmarkEnd w:id="93"/>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本协议当事人禁止从事的行为，包括但不限于：</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（一）基金管理人、基金托管人将其固有财产或者他人财产混同于基金财产从事证券投资。</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（二）基金管理人不公平地对待其管理的不同基金财产，基金托管人不公平地对待其托管的不同基金财产。</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（三）基金管理人、基金托管人利用基金财产为基金份额持有人以外的第三人牟取利益。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（四）基金管理人、基金托管人向基金份额持有人违规承诺收益或者承担损失。</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（五）基金管理人、基金托管人对他人泄漏基金运作和管理过程中任何尚未按法律法规规定的方式公开披露的信息。</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（六）基金管理人在没有充足资金的情况下向基金托管人发出投资指令和赎回、分红资金的划拨指令，或违规向基金托管人发出指令。</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（七）基金管理人、基金托管人在行政上、财务上不</w:t>
      </w:r>
      <w:proofErr w:type="gramStart"/>
      <w:r w:rsidRPr="008943F1">
        <w:rPr>
          <w:rFonts w:asciiTheme="minorEastAsia" w:hAnsiTheme="minorEastAsia" w:cs="Arial" w:hint="eastAsia"/>
          <w:szCs w:val="21"/>
        </w:rPr>
        <w:t>独立,</w:t>
      </w:r>
      <w:proofErr w:type="gramEnd"/>
      <w:r w:rsidRPr="008943F1">
        <w:rPr>
          <w:rFonts w:asciiTheme="minorEastAsia" w:hAnsiTheme="minorEastAsia" w:cs="Arial" w:hint="eastAsia"/>
          <w:szCs w:val="21"/>
        </w:rPr>
        <w:t xml:space="preserve"> 其高级管理人员和其他从业人员相互兼职。</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（八）基金托管人私自动用或处分基金财产，根据基金管理人的合法指令、《基金合同》或托管协议的规定进行处分的除外。</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九）基金财产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（十）法律法规和《基金合同》禁止的其他行为，以及依照法律、行政法规有关规定，由国务院证券监督管理机构规定禁止基金管理人、基金托管人从事的其他行为。</w:t>
      </w:r>
    </w:p>
    <w:p w:rsidR="006E7E82" w:rsidRPr="008943F1" w:rsidRDefault="006E7E82" w:rsidP="00762BF7">
      <w:pPr>
        <w:spacing w:line="360" w:lineRule="auto"/>
        <w:rPr>
          <w:rFonts w:asciiTheme="minorEastAsia" w:hAnsiTheme="minorEastAsia"/>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4" w:name="_Toc124325900"/>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十六、托管协议的变更、终止与基金财产的清算</w:t>
      </w:r>
      <w:bookmarkEnd w:id="94"/>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（一）托管协议的变更程序</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本协议双方当事人经协商一致，可以对协议进行修改。修改后的新协议，其内容不得与《基金合同》的规定有任何冲突。基金托管协议的变更报中国证监会备案后生效。</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（二）托管协议终止的情形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1.《基金合同》终止；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2.基金托管人解散、依法被撤销、破产或由其他基金托管人接管基金资产；</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3.基金管理人解散、依法被撤销、破产或由其他基金管理人接管基金管理权；</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4.发生法律法规或《基金合同》规定的终止事项。</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（三）基金财产的清算</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1.基金财产清算小组：自出现《基金合同》终止事由之日起30个工作日内成立清算小组，基金管理人组织基金财产清算小组并在中国证监会的监督下进行基金清算。</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3.基金财产清算小组职责：基金财产清算小组负责基金财产的保管、清理、估价、变现和分配。基金财产清算小组可以依法进行必要的民事活动。</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4.基金财产清算程序：</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(1)《基金合同》终止情形出现时，由基金财产清算小组统一接管基金；</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(2)对基金财产和债权债务进行清理和确认；</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(3)对基金财产进行估值和变现；</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(4)制作清算报告；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(5)聘请会计师事务所对清算报告进行外部审计，聘请律师事务所对清算报告出具法律意见书；</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(6)将清算结果报中国证监会备案并公告；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(7)对基金财产进行分配。</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5.基金财产清算的期限</w:t>
      </w:r>
      <w:r w:rsidRPr="003A4597">
        <w:rPr>
          <w:rFonts w:asciiTheme="minorEastAsia" w:hAnsiTheme="minorEastAsia" w:cs="Arial" w:hint="eastAsia"/>
          <w:szCs w:val="21"/>
        </w:rPr>
        <w:t>为</w:t>
      </w:r>
      <w:r w:rsidR="00987BFE" w:rsidRPr="003A4597">
        <w:rPr>
          <w:rFonts w:asciiTheme="minorEastAsia" w:hAnsiTheme="minorEastAsia" w:cs="Arial"/>
          <w:szCs w:val="21"/>
        </w:rPr>
        <w:t>6</w:t>
      </w:r>
      <w:r w:rsidRPr="003A4597">
        <w:rPr>
          <w:rFonts w:asciiTheme="minorEastAsia" w:hAnsiTheme="minorEastAsia" w:cs="Arial" w:hint="eastAsia"/>
          <w:szCs w:val="21"/>
        </w:rPr>
        <w:t>个</w:t>
      </w:r>
      <w:r w:rsidRPr="008943F1">
        <w:rPr>
          <w:rFonts w:asciiTheme="minorEastAsia" w:hAnsiTheme="minorEastAsia" w:cs="Arial" w:hint="eastAsia"/>
          <w:szCs w:val="21"/>
        </w:rPr>
        <w:t>月。</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6.清算费用</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清算费用是指基金财产清算小组在进行基金清算过程中发生的所有合理费用，清算费用由基金财产清算小组优先从基金财产中支付。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7.基金财产清算剩余资产的分配</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lastRenderedPageBreak/>
        <w:t>8.基金财产清算的公告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3A4597">
        <w:rPr>
          <w:rFonts w:asciiTheme="minorEastAsia" w:hAnsiTheme="minorEastAsia" w:cs="Arial" w:hint="eastAsia"/>
          <w:szCs w:val="21"/>
        </w:rPr>
        <w:t>后</w:t>
      </w:r>
      <w:r w:rsidR="00987BFE" w:rsidRPr="003A4597">
        <w:rPr>
          <w:rFonts w:asciiTheme="minorEastAsia" w:hAnsiTheme="minorEastAsia" w:cs="Arial"/>
          <w:szCs w:val="21"/>
        </w:rPr>
        <w:t>5</w:t>
      </w:r>
      <w:r w:rsidRPr="003A4597">
        <w:rPr>
          <w:rFonts w:asciiTheme="minorEastAsia" w:hAnsiTheme="minorEastAsia" w:cs="Arial" w:hint="eastAsia"/>
          <w:szCs w:val="21"/>
        </w:rPr>
        <w:t>个</w:t>
      </w:r>
      <w:r w:rsidRPr="008943F1">
        <w:rPr>
          <w:rFonts w:asciiTheme="minorEastAsia" w:hAnsiTheme="minorEastAsia" w:cs="Arial" w:hint="eastAsia"/>
          <w:szCs w:val="21"/>
        </w:rPr>
        <w:t>工作日内由基金财产清算小组进行公告。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9.基金财产清算账册及文件的保存</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基金财产清算账册及有关文件由基金托管人保存15年以上。</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5" w:name="_Toc124325901"/>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十七、违约责任</w:t>
      </w:r>
      <w:bookmarkEnd w:id="95"/>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（一）基金管理人、基金托管人不履行本协议或履行本协议不符合约定的，应当承担违约责任。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1.不可抗力；</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2.基金管理人、基金托管人按照当时有效的法律法规或中国证监会的规定作为或不作为而造成的损失等；</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3.在没有过错的情况下，基金管理人由于按照《基金合同》规定的投资原则投资或不投资造成的直接损失或潜在损失等；</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4.非因基金管理人、基金托管人的故意或重大过失造成的计算机系统故障、网络故障、通讯故障、电力故障、计算机病毒攻击及其它意外事故所导致的损失等。</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（五）违约行为虽已发生，但本托管协议能够继续履行的，在最大限度地保护基金份额持有人利益的前提下，基金管理人和基金托管人应当继续履行本协议。</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E7E82" w:rsidRPr="008943F1" w:rsidRDefault="006E7E82" w:rsidP="00762BF7">
      <w:pPr>
        <w:spacing w:line="360" w:lineRule="auto"/>
        <w:rPr>
          <w:rFonts w:asciiTheme="minorEastAsia" w:hAnsiTheme="minorEastAsia" w:cs="Arial"/>
          <w:szCs w:val="21"/>
        </w:rPr>
      </w:pPr>
    </w:p>
    <w:p w:rsidR="00091B90" w:rsidRPr="008943F1" w:rsidRDefault="00091B90" w:rsidP="00762BF7">
      <w:pPr>
        <w:spacing w:line="360" w:lineRule="auto"/>
        <w:rPr>
          <w:rFonts w:ascii="宋体" w:hAnsi="宋体" w:cs="Arial"/>
          <w:szCs w:val="21"/>
        </w:rPr>
      </w:pPr>
      <w:bookmarkStart w:id="96" w:name="_Toc124325902"/>
      <w:r w:rsidRPr="008943F1">
        <w:rPr>
          <w:rFonts w:ascii="宋体" w:hAnsi="宋体" w:cs="Arial"/>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十八、争议解决方式</w:t>
      </w:r>
      <w:bookmarkEnd w:id="96"/>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本协议受中国法律管辖。</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7" w:name="_Toc124325903"/>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十九、托管协议的效力</w:t>
      </w:r>
      <w:bookmarkEnd w:id="97"/>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双方对托管协议的效力约定如下：</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（二）托管协议自《基金合同》成立之日起成立，自《基金合同》生效之日起生效。托管协议的有效期自其生效之日起至基金财产清算结果报中国证监会备案并公告之日止。</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（三）托管协议自生效之日起对托管协议当事人具有同等的法律约束力。</w:t>
      </w:r>
    </w:p>
    <w:p w:rsidR="006E7E82" w:rsidRPr="008943F1" w:rsidRDefault="006E7E82" w:rsidP="00762BF7">
      <w:pPr>
        <w:adjustRightInd w:val="0"/>
        <w:snapToGrid w:val="0"/>
        <w:spacing w:line="360" w:lineRule="auto"/>
        <w:ind w:firstLineChars="200" w:firstLine="420"/>
        <w:rPr>
          <w:rFonts w:asciiTheme="minorEastAsia" w:hAnsiTheme="minorEastAsia"/>
          <w:szCs w:val="21"/>
        </w:rPr>
      </w:pPr>
      <w:r w:rsidRPr="008943F1">
        <w:rPr>
          <w:rFonts w:asciiTheme="minorEastAsia" w:hAnsiTheme="minorEastAsia" w:cs="Arial" w:hint="eastAsia"/>
          <w:szCs w:val="21"/>
        </w:rPr>
        <w:t>（四）本协议一式六份，协议双方各持二份，上报监管机构二份，每份具有同等的法律效力。</w:t>
      </w:r>
    </w:p>
    <w:p w:rsidR="006E7E82" w:rsidRPr="008943F1" w:rsidRDefault="006E7E82" w:rsidP="00762BF7">
      <w:pPr>
        <w:adjustRightInd w:val="0"/>
        <w:snapToGrid w:val="0"/>
        <w:spacing w:line="360" w:lineRule="auto"/>
        <w:rPr>
          <w:rFonts w:asciiTheme="minorEastAsia" w:hAnsiTheme="minorEastAsia" w:cs="Arial"/>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8" w:name="_Toc124325904"/>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二十、其他事项</w:t>
      </w:r>
      <w:bookmarkEnd w:id="98"/>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如发生有权司法机关依法冻结基金份额持有人的基金份额时，基金管理人应予以配合，承担司法协助义务。</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除本协议有明确定义外，本协议的用语定义适用《基金合同》的约定。本协议未尽事宜，当事人依据《基金合同》、有关法律法规等规定协商办理。</w:t>
      </w:r>
    </w:p>
    <w:p w:rsidR="006E7E82" w:rsidRPr="008943F1" w:rsidRDefault="006E7E82" w:rsidP="00762BF7">
      <w:pPr>
        <w:adjustRightInd w:val="0"/>
        <w:snapToGrid w:val="0"/>
        <w:spacing w:line="360" w:lineRule="auto"/>
        <w:rPr>
          <w:rFonts w:asciiTheme="minorEastAsia" w:hAnsiTheme="minorEastAsia"/>
          <w:b/>
          <w:bCs/>
          <w:szCs w:val="21"/>
        </w:rPr>
      </w:pPr>
    </w:p>
    <w:p w:rsidR="00091B90" w:rsidRPr="008943F1" w:rsidRDefault="00091B90" w:rsidP="00762BF7">
      <w:pPr>
        <w:pStyle w:val="1"/>
        <w:keepNext w:val="0"/>
        <w:keepLines w:val="0"/>
        <w:autoSpaceDE w:val="0"/>
        <w:autoSpaceDN w:val="0"/>
        <w:adjustRightInd w:val="0"/>
        <w:spacing w:before="0" w:after="0" w:line="360" w:lineRule="auto"/>
        <w:ind w:firstLine="288"/>
        <w:jc w:val="center"/>
        <w:textAlignment w:val="baseline"/>
        <w:rPr>
          <w:rFonts w:ascii="宋体" w:hAnsi="宋体" w:cs="Arial"/>
          <w:sz w:val="21"/>
          <w:szCs w:val="21"/>
        </w:rPr>
      </w:pPr>
      <w:bookmarkStart w:id="99" w:name="_Toc124325905"/>
      <w:r w:rsidRPr="008943F1">
        <w:rPr>
          <w:rFonts w:ascii="宋体" w:hAnsi="宋体" w:cs="Arial"/>
          <w:sz w:val="21"/>
          <w:szCs w:val="21"/>
        </w:rPr>
        <w:br w:type="page"/>
      </w:r>
    </w:p>
    <w:p w:rsidR="006E7E82" w:rsidRPr="008943F1" w:rsidRDefault="006E7E82" w:rsidP="00762BF7">
      <w:pPr>
        <w:pStyle w:val="1"/>
        <w:keepNext w:val="0"/>
        <w:keepLines w:val="0"/>
        <w:autoSpaceDE w:val="0"/>
        <w:autoSpaceDN w:val="0"/>
        <w:adjustRightInd w:val="0"/>
        <w:spacing w:before="0" w:after="100" w:afterAutospacing="1" w:line="360" w:lineRule="auto"/>
        <w:ind w:firstLine="289"/>
        <w:jc w:val="center"/>
        <w:textAlignment w:val="baseline"/>
        <w:rPr>
          <w:rFonts w:ascii="宋体" w:hAnsi="宋体" w:cs="Arial"/>
          <w:sz w:val="21"/>
          <w:szCs w:val="21"/>
        </w:rPr>
      </w:pPr>
      <w:r w:rsidRPr="008943F1">
        <w:rPr>
          <w:rFonts w:ascii="宋体" w:hAnsi="宋体" w:cs="Arial" w:hint="eastAsia"/>
          <w:sz w:val="21"/>
          <w:szCs w:val="21"/>
        </w:rPr>
        <w:lastRenderedPageBreak/>
        <w:t>二十一、托管协议的签订</w:t>
      </w:r>
      <w:bookmarkEnd w:id="99"/>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pPr>
      <w:r w:rsidRPr="008943F1">
        <w:rPr>
          <w:rFonts w:asciiTheme="minorEastAsia" w:hAnsiTheme="minorEastAsia" w:cs="Arial" w:hint="eastAsia"/>
          <w:szCs w:val="21"/>
        </w:rPr>
        <w:t>本协议双方法定代表人或授权代表签章、签订地、签订日</w:t>
      </w:r>
    </w:p>
    <w:p w:rsidR="006E7E82" w:rsidRPr="008943F1" w:rsidRDefault="006E7E82" w:rsidP="00762BF7">
      <w:pPr>
        <w:adjustRightInd w:val="0"/>
        <w:snapToGrid w:val="0"/>
        <w:spacing w:line="360" w:lineRule="auto"/>
        <w:ind w:firstLineChars="200" w:firstLine="420"/>
        <w:rPr>
          <w:rFonts w:asciiTheme="minorEastAsia" w:hAnsiTheme="minorEastAsia" w:cs="Arial"/>
          <w:szCs w:val="21"/>
        </w:rPr>
        <w:sectPr w:rsidR="006E7E82" w:rsidRPr="008943F1" w:rsidSect="00054A73">
          <w:headerReference w:type="default" r:id="rId11"/>
          <w:footerReference w:type="default" r:id="rId12"/>
          <w:pgSz w:w="11906" w:h="16838" w:code="9"/>
          <w:pgMar w:top="1418" w:right="1701" w:bottom="1418" w:left="1701" w:header="851" w:footer="992" w:gutter="0"/>
          <w:pgNumType w:start="1"/>
          <w:cols w:space="425"/>
          <w:docGrid w:type="lines" w:linePitch="312"/>
        </w:sectPr>
      </w:pPr>
    </w:p>
    <w:p w:rsidR="006E7E82" w:rsidRPr="00091B90" w:rsidRDefault="006E7E82" w:rsidP="00091B90">
      <w:pPr>
        <w:spacing w:line="360" w:lineRule="auto"/>
        <w:ind w:right="26"/>
        <w:rPr>
          <w:rFonts w:asciiTheme="minorEastAsia" w:eastAsiaTheme="minorEastAsia" w:hAnsiTheme="minorEastAsia"/>
          <w:szCs w:val="21"/>
        </w:rPr>
      </w:pPr>
      <w:r w:rsidRPr="00091B90">
        <w:rPr>
          <w:rFonts w:asciiTheme="minorEastAsia" w:eastAsiaTheme="minorEastAsia" w:hAnsiTheme="minorEastAsia" w:hint="eastAsia"/>
          <w:szCs w:val="21"/>
        </w:rPr>
        <w:lastRenderedPageBreak/>
        <w:t>本页无正文，为《</w:t>
      </w:r>
      <w:r w:rsidR="00987BFE">
        <w:rPr>
          <w:rFonts w:asciiTheme="minorEastAsia" w:eastAsiaTheme="minorEastAsia" w:hAnsiTheme="minorEastAsia" w:hint="eastAsia"/>
          <w:szCs w:val="21"/>
        </w:rPr>
        <w:t>鹏华兴泰定期开放灵活配置混合型</w:t>
      </w:r>
      <w:r w:rsidRPr="00091B90">
        <w:rPr>
          <w:rFonts w:asciiTheme="minorEastAsia" w:eastAsiaTheme="minorEastAsia" w:hAnsiTheme="minorEastAsia" w:hint="eastAsia"/>
          <w:szCs w:val="21"/>
        </w:rPr>
        <w:t>证券投资基金托管协议》的签字盖章页。</w:t>
      </w:r>
    </w:p>
    <w:p w:rsidR="006E7E82" w:rsidRPr="00091B90" w:rsidRDefault="006E7E82" w:rsidP="00091B90">
      <w:pPr>
        <w:spacing w:line="360" w:lineRule="auto"/>
        <w:rPr>
          <w:rFonts w:asciiTheme="minorEastAsia" w:eastAsiaTheme="minorEastAsia" w:hAnsiTheme="minorEastAsia"/>
          <w:szCs w:val="21"/>
        </w:rPr>
      </w:pPr>
    </w:p>
    <w:p w:rsidR="006E7E82" w:rsidRPr="00091B90" w:rsidRDefault="006E7E82" w:rsidP="00091B90">
      <w:pPr>
        <w:spacing w:line="360" w:lineRule="auto"/>
        <w:rPr>
          <w:rFonts w:asciiTheme="minorEastAsia" w:eastAsiaTheme="minorEastAsia" w:hAnsiTheme="minorEastAsia"/>
          <w:szCs w:val="21"/>
        </w:rPr>
      </w:pPr>
    </w:p>
    <w:p w:rsidR="006E7E82" w:rsidRPr="00091B90" w:rsidRDefault="006E7E82" w:rsidP="00091B90">
      <w:pPr>
        <w:spacing w:line="360" w:lineRule="auto"/>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r w:rsidRPr="00091B90">
        <w:rPr>
          <w:rFonts w:asciiTheme="minorEastAsia" w:eastAsiaTheme="minorEastAsia" w:hAnsiTheme="minorEastAsia" w:hint="eastAsia"/>
          <w:szCs w:val="21"/>
        </w:rPr>
        <w:t>基金管理人：</w:t>
      </w:r>
      <w:r w:rsidR="00D430B0">
        <w:rPr>
          <w:rFonts w:asciiTheme="minorEastAsia" w:eastAsiaTheme="minorEastAsia" w:hAnsiTheme="minorEastAsia" w:hint="eastAsia"/>
          <w:szCs w:val="21"/>
        </w:rPr>
        <w:t>鹏华</w:t>
      </w:r>
      <w:r w:rsidRPr="00091B90">
        <w:rPr>
          <w:rFonts w:asciiTheme="minorEastAsia" w:eastAsiaTheme="minorEastAsia" w:hAnsiTheme="minorEastAsia" w:hint="eastAsia"/>
          <w:szCs w:val="21"/>
        </w:rPr>
        <w:t>基金管理有限公司（盖章）</w:t>
      </w: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r w:rsidRPr="00091B90">
        <w:rPr>
          <w:rFonts w:asciiTheme="minorEastAsia" w:eastAsiaTheme="minorEastAsia" w:hAnsiTheme="minorEastAsia" w:hint="eastAsia"/>
          <w:szCs w:val="21"/>
        </w:rPr>
        <w:t xml:space="preserve">法定代表人或授权代表：                   </w:t>
      </w: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r w:rsidRPr="00091B90">
        <w:rPr>
          <w:rFonts w:asciiTheme="minorEastAsia" w:eastAsiaTheme="minorEastAsia" w:hAnsiTheme="minorEastAsia" w:hint="eastAsia"/>
          <w:szCs w:val="21"/>
        </w:rPr>
        <w:t>基金托管人：中国建设银行股份有限公司（盖章）</w:t>
      </w: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p>
    <w:p w:rsidR="006E7E82" w:rsidRPr="00091B90" w:rsidRDefault="006E7E82" w:rsidP="00091B90">
      <w:pPr>
        <w:spacing w:line="360" w:lineRule="auto"/>
        <w:ind w:right="26"/>
        <w:rPr>
          <w:rFonts w:asciiTheme="minorEastAsia" w:eastAsiaTheme="minorEastAsia" w:hAnsiTheme="minorEastAsia"/>
          <w:szCs w:val="21"/>
        </w:rPr>
      </w:pPr>
      <w:r w:rsidRPr="00091B90">
        <w:rPr>
          <w:rFonts w:asciiTheme="minorEastAsia" w:eastAsiaTheme="minorEastAsia" w:hAnsiTheme="minorEastAsia" w:hint="eastAsia"/>
          <w:szCs w:val="21"/>
        </w:rPr>
        <w:t xml:space="preserve">法定代表人或授权代表：                   </w:t>
      </w:r>
    </w:p>
    <w:p w:rsidR="006E7E82" w:rsidRPr="00091B90" w:rsidRDefault="006E7E82" w:rsidP="00091B90">
      <w:pPr>
        <w:spacing w:line="360" w:lineRule="auto"/>
        <w:ind w:right="26"/>
        <w:rPr>
          <w:rFonts w:asciiTheme="minorEastAsia" w:eastAsiaTheme="minorEastAsia" w:hAnsiTheme="minorEastAsia"/>
          <w:b/>
          <w:szCs w:val="21"/>
        </w:rPr>
      </w:pPr>
    </w:p>
    <w:p w:rsidR="006E7E82" w:rsidRPr="00091B90" w:rsidRDefault="006E7E82" w:rsidP="00091B90">
      <w:pPr>
        <w:spacing w:line="360" w:lineRule="auto"/>
        <w:ind w:right="26"/>
        <w:rPr>
          <w:rFonts w:asciiTheme="minorEastAsia" w:eastAsiaTheme="minorEastAsia" w:hAnsiTheme="minorEastAsia"/>
          <w:b/>
          <w:szCs w:val="21"/>
        </w:rPr>
      </w:pPr>
    </w:p>
    <w:p w:rsidR="006E7E82" w:rsidRPr="00091B90" w:rsidRDefault="006E7E82" w:rsidP="00091B90">
      <w:pPr>
        <w:spacing w:line="360" w:lineRule="auto"/>
        <w:ind w:right="26"/>
        <w:rPr>
          <w:rFonts w:asciiTheme="minorEastAsia" w:eastAsiaTheme="minorEastAsia" w:hAnsiTheme="minorEastAsia"/>
          <w:b/>
          <w:szCs w:val="21"/>
        </w:rPr>
      </w:pPr>
    </w:p>
    <w:p w:rsidR="006E7E82" w:rsidRPr="00091B90" w:rsidRDefault="006E7E82" w:rsidP="00091B90">
      <w:pPr>
        <w:spacing w:line="360" w:lineRule="auto"/>
        <w:ind w:right="26"/>
        <w:rPr>
          <w:rFonts w:asciiTheme="minorEastAsia" w:eastAsiaTheme="minorEastAsia" w:hAnsiTheme="minorEastAsia"/>
          <w:b/>
          <w:szCs w:val="21"/>
        </w:rPr>
      </w:pPr>
      <w:r w:rsidRPr="00091B90">
        <w:rPr>
          <w:rFonts w:asciiTheme="minorEastAsia" w:eastAsiaTheme="minorEastAsia" w:hAnsiTheme="minorEastAsia" w:hint="eastAsia"/>
          <w:b/>
          <w:szCs w:val="21"/>
        </w:rPr>
        <w:t>签订地点：北京</w:t>
      </w:r>
    </w:p>
    <w:p w:rsidR="006E7E82" w:rsidRPr="00091B90" w:rsidRDefault="006E7E82" w:rsidP="00091B90">
      <w:pPr>
        <w:spacing w:line="360" w:lineRule="auto"/>
        <w:ind w:right="26"/>
        <w:rPr>
          <w:rFonts w:asciiTheme="minorEastAsia" w:eastAsiaTheme="minorEastAsia" w:hAnsiTheme="minorEastAsia"/>
          <w:b/>
          <w:szCs w:val="21"/>
        </w:rPr>
      </w:pPr>
      <w:r w:rsidRPr="00091B90">
        <w:rPr>
          <w:rFonts w:asciiTheme="minorEastAsia" w:eastAsiaTheme="minorEastAsia" w:hAnsiTheme="minorEastAsia" w:hint="eastAsia"/>
          <w:b/>
          <w:szCs w:val="21"/>
        </w:rPr>
        <w:t>签 订 日：二零一</w:t>
      </w:r>
      <w:r w:rsidR="00D430B0">
        <w:rPr>
          <w:rFonts w:asciiTheme="minorEastAsia" w:eastAsiaTheme="minorEastAsia" w:hAnsiTheme="minorEastAsia" w:hint="eastAsia"/>
          <w:b/>
          <w:szCs w:val="21"/>
        </w:rPr>
        <w:t xml:space="preserve">  </w:t>
      </w:r>
      <w:r w:rsidRPr="00091B90">
        <w:rPr>
          <w:rFonts w:asciiTheme="minorEastAsia" w:eastAsiaTheme="minorEastAsia" w:hAnsiTheme="minorEastAsia" w:hint="eastAsia"/>
          <w:b/>
          <w:szCs w:val="21"/>
        </w:rPr>
        <w:t>年</w:t>
      </w:r>
      <w:r w:rsidR="00D430B0">
        <w:rPr>
          <w:rFonts w:asciiTheme="minorEastAsia" w:eastAsiaTheme="minorEastAsia" w:hAnsiTheme="minorEastAsia" w:hint="eastAsia"/>
          <w:b/>
          <w:szCs w:val="21"/>
        </w:rPr>
        <w:t xml:space="preserve">   </w:t>
      </w:r>
      <w:r w:rsidRPr="00091B90">
        <w:rPr>
          <w:rFonts w:asciiTheme="minorEastAsia" w:eastAsiaTheme="minorEastAsia" w:hAnsiTheme="minorEastAsia" w:hint="eastAsia"/>
          <w:b/>
          <w:szCs w:val="21"/>
        </w:rPr>
        <w:t>月</w:t>
      </w:r>
      <w:r w:rsidR="00D430B0">
        <w:rPr>
          <w:rFonts w:asciiTheme="minorEastAsia" w:eastAsiaTheme="minorEastAsia" w:hAnsiTheme="minorEastAsia" w:hint="eastAsia"/>
          <w:b/>
          <w:szCs w:val="21"/>
        </w:rPr>
        <w:t xml:space="preserve">   </w:t>
      </w:r>
      <w:r w:rsidRPr="00091B90">
        <w:rPr>
          <w:rFonts w:asciiTheme="minorEastAsia" w:eastAsiaTheme="minorEastAsia" w:hAnsiTheme="minorEastAsia" w:hint="eastAsia"/>
          <w:b/>
          <w:szCs w:val="21"/>
        </w:rPr>
        <w:t>日</w:t>
      </w:r>
    </w:p>
    <w:p w:rsidR="006E7E82" w:rsidRPr="00091B90" w:rsidRDefault="006E7E82" w:rsidP="00091B90">
      <w:pPr>
        <w:adjustRightInd w:val="0"/>
        <w:snapToGrid w:val="0"/>
        <w:spacing w:line="360" w:lineRule="auto"/>
        <w:rPr>
          <w:rFonts w:asciiTheme="minorEastAsia" w:eastAsiaTheme="minorEastAsia" w:hAnsiTheme="minorEastAsia" w:cs="Arial"/>
          <w:szCs w:val="21"/>
        </w:rPr>
      </w:pPr>
    </w:p>
    <w:p w:rsidR="006E7E82" w:rsidRPr="00091B90" w:rsidRDefault="006E7E82" w:rsidP="00091B90">
      <w:pPr>
        <w:spacing w:line="360" w:lineRule="auto"/>
        <w:rPr>
          <w:rFonts w:asciiTheme="minorEastAsia" w:eastAsiaTheme="minorEastAsia" w:hAnsiTheme="minorEastAsia"/>
          <w:szCs w:val="21"/>
        </w:rPr>
      </w:pPr>
    </w:p>
    <w:p w:rsidR="006E7E82" w:rsidRPr="00091B90" w:rsidRDefault="006E7E82" w:rsidP="00091B90">
      <w:pPr>
        <w:spacing w:line="360" w:lineRule="auto"/>
        <w:rPr>
          <w:rFonts w:asciiTheme="minorEastAsia" w:eastAsiaTheme="minorEastAsia" w:hAnsiTheme="minorEastAsia"/>
          <w:szCs w:val="21"/>
        </w:rPr>
      </w:pPr>
    </w:p>
    <w:p w:rsidR="005D1249" w:rsidRPr="00091B90" w:rsidRDefault="005D1249" w:rsidP="00091B90">
      <w:pPr>
        <w:spacing w:line="360" w:lineRule="auto"/>
        <w:rPr>
          <w:rFonts w:asciiTheme="minorEastAsia" w:eastAsiaTheme="minorEastAsia" w:hAnsiTheme="minorEastAsia"/>
          <w:szCs w:val="21"/>
        </w:rPr>
      </w:pPr>
    </w:p>
    <w:sectPr w:rsidR="005D1249" w:rsidRPr="00091B90" w:rsidSect="00B849D9">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070" w:rsidRDefault="00613070" w:rsidP="00054A73">
      <w:r>
        <w:separator/>
      </w:r>
    </w:p>
  </w:endnote>
  <w:endnote w:type="continuationSeparator" w:id="0">
    <w:p w:rsidR="00613070" w:rsidRDefault="00613070" w:rsidP="0005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9268D" w:rsidRDefault="00F9268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pPr>
      <w:pStyle w:val="a5"/>
      <w:framePr w:wrap="around" w:vAnchor="text" w:hAnchor="margin" w:xAlign="center" w:y="1"/>
      <w:rPr>
        <w:rStyle w:val="a6"/>
      </w:rPr>
    </w:pPr>
    <w:r>
      <w:rPr>
        <w:rStyle w:val="a6"/>
        <w:rFonts w:hint="eastAsia"/>
      </w:rPr>
      <w:t>4-</w:t>
    </w:r>
    <w:r>
      <w:rPr>
        <w:rStyle w:val="a6"/>
      </w:rPr>
      <w:fldChar w:fldCharType="begin"/>
    </w:r>
    <w:r>
      <w:rPr>
        <w:rStyle w:val="a6"/>
      </w:rPr>
      <w:instrText xml:space="preserve">PAGE  </w:instrText>
    </w:r>
    <w:r>
      <w:rPr>
        <w:rStyle w:val="a6"/>
      </w:rPr>
      <w:fldChar w:fldCharType="separate"/>
    </w:r>
    <w:r w:rsidR="001B1719">
      <w:rPr>
        <w:rStyle w:val="a6"/>
        <w:noProof/>
      </w:rPr>
      <w:t>2</w:t>
    </w:r>
    <w:r>
      <w:rPr>
        <w:rStyle w:val="a6"/>
      </w:rPr>
      <w:fldChar w:fldCharType="end"/>
    </w:r>
  </w:p>
  <w:p w:rsidR="00F9268D" w:rsidRDefault="00F9268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070" w:rsidRDefault="00613070" w:rsidP="00054A73">
      <w:r>
        <w:separator/>
      </w:r>
    </w:p>
  </w:footnote>
  <w:footnote w:type="continuationSeparator" w:id="0">
    <w:p w:rsidR="00613070" w:rsidRDefault="00613070" w:rsidP="00054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rsidP="00054A73">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rsidP="00054A73">
    <w:pPr>
      <w:pStyle w:val="a4"/>
      <w:pBdr>
        <w:bottom w:val="none" w:sz="0" w:space="0"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pPr>
      <w:pStyle w:val="a4"/>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68D" w:rsidRDefault="00F926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82"/>
    <w:rsid w:val="00054A73"/>
    <w:rsid w:val="00091B90"/>
    <w:rsid w:val="000E486E"/>
    <w:rsid w:val="000F7A94"/>
    <w:rsid w:val="00135250"/>
    <w:rsid w:val="001B1719"/>
    <w:rsid w:val="00236C61"/>
    <w:rsid w:val="002666B8"/>
    <w:rsid w:val="002E2D4D"/>
    <w:rsid w:val="003741FE"/>
    <w:rsid w:val="003A4597"/>
    <w:rsid w:val="004211BB"/>
    <w:rsid w:val="00566631"/>
    <w:rsid w:val="005D1249"/>
    <w:rsid w:val="00613070"/>
    <w:rsid w:val="006579A6"/>
    <w:rsid w:val="006D7B26"/>
    <w:rsid w:val="006E7E82"/>
    <w:rsid w:val="00762BF7"/>
    <w:rsid w:val="007F0FA6"/>
    <w:rsid w:val="008943F1"/>
    <w:rsid w:val="00937BDF"/>
    <w:rsid w:val="0098790E"/>
    <w:rsid w:val="00987BFE"/>
    <w:rsid w:val="009D171F"/>
    <w:rsid w:val="00A14B10"/>
    <w:rsid w:val="00A21F35"/>
    <w:rsid w:val="00B849D9"/>
    <w:rsid w:val="00B93236"/>
    <w:rsid w:val="00BA05A8"/>
    <w:rsid w:val="00BB0AB8"/>
    <w:rsid w:val="00D430B0"/>
    <w:rsid w:val="00D54B3E"/>
    <w:rsid w:val="00E46D7D"/>
    <w:rsid w:val="00F71402"/>
    <w:rsid w:val="00F82B58"/>
    <w:rsid w:val="00F9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E7E82"/>
    <w:pPr>
      <w:widowControl w:val="0"/>
      <w:jc w:val="both"/>
    </w:pPr>
    <w:rPr>
      <w:rFonts w:ascii="Times New Roman" w:eastAsia="宋体" w:hAnsi="Times New Roman" w:cs="Times New Roman"/>
      <w:szCs w:val="24"/>
    </w:rPr>
  </w:style>
  <w:style w:type="paragraph" w:styleId="1">
    <w:name w:val="heading 1"/>
    <w:aliases w:val="H1,Heading 0"/>
    <w:basedOn w:val="a"/>
    <w:next w:val="a"/>
    <w:link w:val="1Char"/>
    <w:qFormat/>
    <w:rsid w:val="00091B90"/>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6E7E8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E7E82"/>
    <w:rPr>
      <w:rFonts w:ascii="Arial" w:eastAsia="黑体" w:hAnsi="Arial" w:cs="Times New Roman"/>
      <w:b/>
      <w:sz w:val="32"/>
      <w:szCs w:val="20"/>
    </w:rPr>
  </w:style>
  <w:style w:type="paragraph" w:styleId="a4">
    <w:name w:val="header"/>
    <w:basedOn w:val="a"/>
    <w:link w:val="Char"/>
    <w:unhideWhenUsed/>
    <w:rsid w:val="006E7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E7E82"/>
    <w:rPr>
      <w:rFonts w:ascii="Times New Roman" w:eastAsia="宋体" w:hAnsi="Times New Roman" w:cs="Times New Roman"/>
      <w:sz w:val="18"/>
      <w:szCs w:val="18"/>
    </w:rPr>
  </w:style>
  <w:style w:type="paragraph" w:styleId="a5">
    <w:name w:val="footer"/>
    <w:basedOn w:val="a"/>
    <w:link w:val="Char0"/>
    <w:unhideWhenUsed/>
    <w:rsid w:val="006E7E82"/>
    <w:pPr>
      <w:tabs>
        <w:tab w:val="center" w:pos="4153"/>
        <w:tab w:val="right" w:pos="8306"/>
      </w:tabs>
      <w:snapToGrid w:val="0"/>
      <w:jc w:val="left"/>
    </w:pPr>
    <w:rPr>
      <w:sz w:val="18"/>
      <w:szCs w:val="18"/>
    </w:rPr>
  </w:style>
  <w:style w:type="character" w:customStyle="1" w:styleId="Char0">
    <w:name w:val="页脚 Char"/>
    <w:basedOn w:val="a1"/>
    <w:link w:val="a5"/>
    <w:rsid w:val="006E7E82"/>
    <w:rPr>
      <w:rFonts w:ascii="Times New Roman" w:eastAsia="宋体" w:hAnsi="Times New Roman" w:cs="Times New Roman"/>
      <w:sz w:val="18"/>
      <w:szCs w:val="18"/>
    </w:rPr>
  </w:style>
  <w:style w:type="character" w:styleId="a6">
    <w:name w:val="page number"/>
    <w:basedOn w:val="a1"/>
    <w:rsid w:val="006E7E82"/>
  </w:style>
  <w:style w:type="paragraph" w:styleId="a7">
    <w:name w:val="Normal (Web)"/>
    <w:basedOn w:val="a"/>
    <w:rsid w:val="006E7E8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6E7E82"/>
    <w:rPr>
      <w:b/>
      <w:bCs/>
    </w:rPr>
  </w:style>
  <w:style w:type="character" w:styleId="a9">
    <w:name w:val="Hyperlink"/>
    <w:basedOn w:val="a1"/>
    <w:rsid w:val="006E7E82"/>
    <w:rPr>
      <w:color w:val="0000FF"/>
      <w:u w:val="single"/>
    </w:rPr>
  </w:style>
  <w:style w:type="paragraph" w:customStyle="1" w:styleId="wz1">
    <w:name w:val="wz1"/>
    <w:basedOn w:val="a"/>
    <w:rsid w:val="006E7E8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E7E8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E7E82"/>
    <w:rPr>
      <w:rFonts w:ascii="仿宋_GB2312" w:eastAsia="仿宋_GB2312" w:hAnsi="Times New Roman" w:cs="Times New Roman"/>
      <w:color w:val="000000"/>
      <w:kern w:val="0"/>
      <w:sz w:val="24"/>
      <w:szCs w:val="28"/>
    </w:rPr>
  </w:style>
  <w:style w:type="character" w:customStyle="1" w:styleId="read">
    <w:name w:val="read"/>
    <w:basedOn w:val="a1"/>
    <w:rsid w:val="006E7E82"/>
  </w:style>
  <w:style w:type="paragraph" w:styleId="a0">
    <w:name w:val="Normal Indent"/>
    <w:basedOn w:val="a"/>
    <w:rsid w:val="006E7E82"/>
    <w:pPr>
      <w:ind w:firstLineChars="200" w:firstLine="420"/>
    </w:pPr>
  </w:style>
  <w:style w:type="paragraph" w:styleId="ab">
    <w:name w:val="Body Text Indent"/>
    <w:basedOn w:val="a"/>
    <w:link w:val="Char2"/>
    <w:rsid w:val="006E7E8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E7E82"/>
    <w:rPr>
      <w:rFonts w:ascii="Times New Roman" w:eastAsia="方正仿宋简体" w:hAnsi="Times New Roman" w:cs="Times New Roman"/>
      <w:sz w:val="24"/>
      <w:szCs w:val="30"/>
    </w:rPr>
  </w:style>
  <w:style w:type="paragraph" w:styleId="20">
    <w:name w:val="Body Text Indent 2"/>
    <w:basedOn w:val="a"/>
    <w:link w:val="2Char0"/>
    <w:rsid w:val="006E7E82"/>
    <w:pPr>
      <w:spacing w:line="360" w:lineRule="auto"/>
      <w:ind w:firstLine="525"/>
    </w:pPr>
    <w:rPr>
      <w:rFonts w:ascii="宋体" w:hAnsi="宋体"/>
      <w:sz w:val="28"/>
      <w:szCs w:val="20"/>
    </w:rPr>
  </w:style>
  <w:style w:type="character" w:customStyle="1" w:styleId="2Char0">
    <w:name w:val="正文文本缩进 2 Char"/>
    <w:basedOn w:val="a1"/>
    <w:link w:val="20"/>
    <w:rsid w:val="006E7E82"/>
    <w:rPr>
      <w:rFonts w:ascii="宋体" w:eastAsia="宋体" w:hAnsi="宋体" w:cs="Times New Roman"/>
      <w:sz w:val="28"/>
      <w:szCs w:val="20"/>
    </w:rPr>
  </w:style>
  <w:style w:type="paragraph" w:styleId="3">
    <w:name w:val="Body Text Indent 3"/>
    <w:basedOn w:val="a"/>
    <w:link w:val="3Char"/>
    <w:rsid w:val="006E7E8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E7E82"/>
    <w:rPr>
      <w:rFonts w:ascii="仿宋_GB2312" w:eastAsia="仿宋_GB2312" w:hAnsi="宋体" w:cs="Arial"/>
      <w:color w:val="000000"/>
      <w:sz w:val="24"/>
      <w:szCs w:val="24"/>
    </w:rPr>
  </w:style>
  <w:style w:type="paragraph" w:styleId="10">
    <w:name w:val="toc 1"/>
    <w:basedOn w:val="a"/>
    <w:next w:val="a"/>
    <w:autoRedefine/>
    <w:semiHidden/>
    <w:rsid w:val="006E7E82"/>
  </w:style>
  <w:style w:type="paragraph" w:styleId="21">
    <w:name w:val="toc 2"/>
    <w:basedOn w:val="a"/>
    <w:next w:val="a"/>
    <w:autoRedefine/>
    <w:semiHidden/>
    <w:rsid w:val="006E7E82"/>
    <w:pPr>
      <w:ind w:leftChars="200" w:left="420"/>
    </w:pPr>
  </w:style>
  <w:style w:type="paragraph" w:styleId="30">
    <w:name w:val="toc 3"/>
    <w:basedOn w:val="a"/>
    <w:next w:val="a"/>
    <w:autoRedefine/>
    <w:semiHidden/>
    <w:rsid w:val="006E7E82"/>
    <w:pPr>
      <w:ind w:leftChars="400" w:left="840"/>
    </w:pPr>
  </w:style>
  <w:style w:type="paragraph" w:styleId="4">
    <w:name w:val="toc 4"/>
    <w:basedOn w:val="a"/>
    <w:next w:val="a"/>
    <w:autoRedefine/>
    <w:semiHidden/>
    <w:rsid w:val="006E7E82"/>
    <w:pPr>
      <w:ind w:leftChars="600" w:left="1260"/>
    </w:pPr>
  </w:style>
  <w:style w:type="paragraph" w:styleId="5">
    <w:name w:val="toc 5"/>
    <w:basedOn w:val="a"/>
    <w:next w:val="a"/>
    <w:autoRedefine/>
    <w:semiHidden/>
    <w:rsid w:val="006E7E82"/>
    <w:pPr>
      <w:ind w:leftChars="800" w:left="1680"/>
    </w:pPr>
  </w:style>
  <w:style w:type="paragraph" w:styleId="6">
    <w:name w:val="toc 6"/>
    <w:basedOn w:val="a"/>
    <w:next w:val="a"/>
    <w:autoRedefine/>
    <w:semiHidden/>
    <w:rsid w:val="006E7E82"/>
    <w:pPr>
      <w:ind w:leftChars="1000" w:left="2100"/>
    </w:pPr>
  </w:style>
  <w:style w:type="paragraph" w:styleId="7">
    <w:name w:val="toc 7"/>
    <w:basedOn w:val="a"/>
    <w:next w:val="a"/>
    <w:autoRedefine/>
    <w:semiHidden/>
    <w:rsid w:val="006E7E82"/>
    <w:pPr>
      <w:ind w:leftChars="1200" w:left="2520"/>
    </w:pPr>
  </w:style>
  <w:style w:type="paragraph" w:styleId="8">
    <w:name w:val="toc 8"/>
    <w:basedOn w:val="a"/>
    <w:next w:val="a"/>
    <w:autoRedefine/>
    <w:semiHidden/>
    <w:rsid w:val="006E7E82"/>
    <w:pPr>
      <w:ind w:leftChars="1400" w:left="2940"/>
    </w:pPr>
  </w:style>
  <w:style w:type="paragraph" w:styleId="9">
    <w:name w:val="toc 9"/>
    <w:basedOn w:val="a"/>
    <w:next w:val="a"/>
    <w:autoRedefine/>
    <w:semiHidden/>
    <w:rsid w:val="006E7E82"/>
    <w:pPr>
      <w:ind w:leftChars="1600" w:left="3360"/>
    </w:pPr>
  </w:style>
  <w:style w:type="paragraph" w:styleId="ac">
    <w:name w:val="Balloon Text"/>
    <w:basedOn w:val="a"/>
    <w:link w:val="Char3"/>
    <w:semiHidden/>
    <w:rsid w:val="006E7E82"/>
    <w:rPr>
      <w:sz w:val="18"/>
      <w:szCs w:val="18"/>
    </w:rPr>
  </w:style>
  <w:style w:type="character" w:customStyle="1" w:styleId="Char3">
    <w:name w:val="批注框文本 Char"/>
    <w:basedOn w:val="a1"/>
    <w:link w:val="ac"/>
    <w:semiHidden/>
    <w:rsid w:val="006E7E82"/>
    <w:rPr>
      <w:rFonts w:ascii="Times New Roman" w:eastAsia="宋体" w:hAnsi="Times New Roman" w:cs="Times New Roman"/>
      <w:sz w:val="18"/>
      <w:szCs w:val="18"/>
    </w:rPr>
  </w:style>
  <w:style w:type="paragraph" w:customStyle="1" w:styleId="Char4">
    <w:name w:val="Char"/>
    <w:basedOn w:val="a"/>
    <w:rsid w:val="006E7E82"/>
  </w:style>
  <w:style w:type="paragraph" w:customStyle="1" w:styleId="Char10">
    <w:name w:val="Char1"/>
    <w:basedOn w:val="a"/>
    <w:autoRedefine/>
    <w:rsid w:val="006E7E8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E7E82"/>
  </w:style>
  <w:style w:type="character" w:styleId="ad">
    <w:name w:val="annotation reference"/>
    <w:basedOn w:val="a1"/>
    <w:semiHidden/>
    <w:rsid w:val="006E7E82"/>
    <w:rPr>
      <w:sz w:val="21"/>
      <w:szCs w:val="21"/>
    </w:rPr>
  </w:style>
  <w:style w:type="paragraph" w:styleId="ae">
    <w:name w:val="annotation text"/>
    <w:basedOn w:val="a"/>
    <w:link w:val="Char5"/>
    <w:semiHidden/>
    <w:rsid w:val="006E7E82"/>
    <w:pPr>
      <w:jc w:val="left"/>
    </w:pPr>
  </w:style>
  <w:style w:type="character" w:customStyle="1" w:styleId="Char5">
    <w:name w:val="批注文字 Char"/>
    <w:basedOn w:val="a1"/>
    <w:link w:val="ae"/>
    <w:semiHidden/>
    <w:rsid w:val="006E7E8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E7E82"/>
  </w:style>
  <w:style w:type="paragraph" w:customStyle="1" w:styleId="CharChar">
    <w:name w:val="Char Char"/>
    <w:basedOn w:val="a"/>
    <w:rsid w:val="006E7E82"/>
    <w:rPr>
      <w:szCs w:val="20"/>
    </w:rPr>
  </w:style>
  <w:style w:type="paragraph" w:styleId="HTML">
    <w:name w:val="HTML Preformatted"/>
    <w:basedOn w:val="a"/>
    <w:link w:val="HTMLChar"/>
    <w:uiPriority w:val="99"/>
    <w:unhideWhenUsed/>
    <w:rsid w:val="006E7E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E7E82"/>
    <w:rPr>
      <w:rFonts w:ascii="宋体" w:eastAsia="宋体" w:hAnsi="宋体" w:cs="宋体"/>
      <w:kern w:val="0"/>
      <w:sz w:val="24"/>
      <w:szCs w:val="24"/>
    </w:rPr>
  </w:style>
  <w:style w:type="paragraph" w:styleId="af">
    <w:name w:val="annotation subject"/>
    <w:basedOn w:val="ae"/>
    <w:next w:val="ae"/>
    <w:link w:val="Char6"/>
    <w:rsid w:val="006E7E82"/>
    <w:rPr>
      <w:b/>
      <w:bCs/>
    </w:rPr>
  </w:style>
  <w:style w:type="character" w:customStyle="1" w:styleId="Char6">
    <w:name w:val="批注主题 Char"/>
    <w:basedOn w:val="Char5"/>
    <w:link w:val="af"/>
    <w:rsid w:val="006E7E82"/>
    <w:rPr>
      <w:rFonts w:ascii="Times New Roman" w:eastAsia="宋体" w:hAnsi="Times New Roman" w:cs="Times New Roman"/>
      <w:b/>
      <w:bCs/>
      <w:szCs w:val="24"/>
    </w:rPr>
  </w:style>
  <w:style w:type="paragraph" w:customStyle="1" w:styleId="af0">
    <w:uiPriority w:val="99"/>
    <w:unhideWhenUsed/>
    <w:rsid w:val="006E7E82"/>
  </w:style>
  <w:style w:type="paragraph" w:styleId="af1">
    <w:name w:val="Revision"/>
    <w:hidden/>
    <w:uiPriority w:val="99"/>
    <w:semiHidden/>
    <w:rsid w:val="006E7E82"/>
    <w:rPr>
      <w:rFonts w:ascii="Times New Roman" w:eastAsia="宋体" w:hAnsi="Times New Roman" w:cs="Times New Roman"/>
      <w:szCs w:val="24"/>
    </w:rPr>
  </w:style>
  <w:style w:type="character" w:styleId="af2">
    <w:name w:val="FollowedHyperlink"/>
    <w:basedOn w:val="a1"/>
    <w:uiPriority w:val="99"/>
    <w:semiHidden/>
    <w:unhideWhenUsed/>
    <w:rsid w:val="006E7E82"/>
    <w:rPr>
      <w:color w:val="800080" w:themeColor="followedHyperlink"/>
      <w:u w:val="single"/>
    </w:rPr>
  </w:style>
  <w:style w:type="paragraph" w:styleId="af3">
    <w:name w:val="Plain Text"/>
    <w:basedOn w:val="a"/>
    <w:link w:val="Char7"/>
    <w:rsid w:val="00091B90"/>
    <w:pPr>
      <w:adjustRightInd w:val="0"/>
      <w:spacing w:line="360" w:lineRule="atLeast"/>
      <w:textAlignment w:val="baseline"/>
    </w:pPr>
    <w:rPr>
      <w:rFonts w:ascii="宋体" w:hAnsi="Courier New"/>
      <w:szCs w:val="20"/>
    </w:rPr>
  </w:style>
  <w:style w:type="character" w:customStyle="1" w:styleId="Char7">
    <w:name w:val="纯文本 Char"/>
    <w:basedOn w:val="a1"/>
    <w:link w:val="af3"/>
    <w:rsid w:val="00091B90"/>
    <w:rPr>
      <w:rFonts w:ascii="宋体" w:eastAsia="宋体" w:hAnsi="Courier New" w:cs="Times New Roman"/>
      <w:szCs w:val="20"/>
    </w:rPr>
  </w:style>
  <w:style w:type="character" w:customStyle="1" w:styleId="1Char">
    <w:name w:val="标题 1 Char"/>
    <w:aliases w:val="H1 Char,Heading 0 Char"/>
    <w:basedOn w:val="a1"/>
    <w:link w:val="1"/>
    <w:uiPriority w:val="99"/>
    <w:rsid w:val="00091B90"/>
    <w:rPr>
      <w:rFonts w:ascii="Times New Roman" w:eastAsia="宋体" w:hAnsi="Times New Roman" w:cs="Times New Roman"/>
      <w:b/>
      <w:bCs/>
      <w:kern w:val="44"/>
      <w:sz w:val="44"/>
      <w:szCs w:val="44"/>
    </w:rPr>
  </w:style>
  <w:style w:type="paragraph" w:styleId="TOC">
    <w:name w:val="TOC Heading"/>
    <w:basedOn w:val="1"/>
    <w:next w:val="a"/>
    <w:uiPriority w:val="99"/>
    <w:qFormat/>
    <w:rsid w:val="00091B90"/>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E7E82"/>
    <w:pPr>
      <w:widowControl w:val="0"/>
      <w:jc w:val="both"/>
    </w:pPr>
    <w:rPr>
      <w:rFonts w:ascii="Times New Roman" w:eastAsia="宋体" w:hAnsi="Times New Roman" w:cs="Times New Roman"/>
      <w:szCs w:val="24"/>
    </w:rPr>
  </w:style>
  <w:style w:type="paragraph" w:styleId="1">
    <w:name w:val="heading 1"/>
    <w:aliases w:val="H1,Heading 0"/>
    <w:basedOn w:val="a"/>
    <w:next w:val="a"/>
    <w:link w:val="1Char"/>
    <w:qFormat/>
    <w:rsid w:val="00091B90"/>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6E7E82"/>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E7E82"/>
    <w:rPr>
      <w:rFonts w:ascii="Arial" w:eastAsia="黑体" w:hAnsi="Arial" w:cs="Times New Roman"/>
      <w:b/>
      <w:sz w:val="32"/>
      <w:szCs w:val="20"/>
    </w:rPr>
  </w:style>
  <w:style w:type="paragraph" w:styleId="a4">
    <w:name w:val="header"/>
    <w:basedOn w:val="a"/>
    <w:link w:val="Char"/>
    <w:unhideWhenUsed/>
    <w:rsid w:val="006E7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E7E82"/>
    <w:rPr>
      <w:rFonts w:ascii="Times New Roman" w:eastAsia="宋体" w:hAnsi="Times New Roman" w:cs="Times New Roman"/>
      <w:sz w:val="18"/>
      <w:szCs w:val="18"/>
    </w:rPr>
  </w:style>
  <w:style w:type="paragraph" w:styleId="a5">
    <w:name w:val="footer"/>
    <w:basedOn w:val="a"/>
    <w:link w:val="Char0"/>
    <w:unhideWhenUsed/>
    <w:rsid w:val="006E7E82"/>
    <w:pPr>
      <w:tabs>
        <w:tab w:val="center" w:pos="4153"/>
        <w:tab w:val="right" w:pos="8306"/>
      </w:tabs>
      <w:snapToGrid w:val="0"/>
      <w:jc w:val="left"/>
    </w:pPr>
    <w:rPr>
      <w:sz w:val="18"/>
      <w:szCs w:val="18"/>
    </w:rPr>
  </w:style>
  <w:style w:type="character" w:customStyle="1" w:styleId="Char0">
    <w:name w:val="页脚 Char"/>
    <w:basedOn w:val="a1"/>
    <w:link w:val="a5"/>
    <w:rsid w:val="006E7E82"/>
    <w:rPr>
      <w:rFonts w:ascii="Times New Roman" w:eastAsia="宋体" w:hAnsi="Times New Roman" w:cs="Times New Roman"/>
      <w:sz w:val="18"/>
      <w:szCs w:val="18"/>
    </w:rPr>
  </w:style>
  <w:style w:type="character" w:styleId="a6">
    <w:name w:val="page number"/>
    <w:basedOn w:val="a1"/>
    <w:rsid w:val="006E7E82"/>
  </w:style>
  <w:style w:type="paragraph" w:styleId="a7">
    <w:name w:val="Normal (Web)"/>
    <w:basedOn w:val="a"/>
    <w:rsid w:val="006E7E8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6E7E82"/>
    <w:rPr>
      <w:b/>
      <w:bCs/>
    </w:rPr>
  </w:style>
  <w:style w:type="character" w:styleId="a9">
    <w:name w:val="Hyperlink"/>
    <w:basedOn w:val="a1"/>
    <w:rsid w:val="006E7E82"/>
    <w:rPr>
      <w:color w:val="0000FF"/>
      <w:u w:val="single"/>
    </w:rPr>
  </w:style>
  <w:style w:type="paragraph" w:customStyle="1" w:styleId="wz1">
    <w:name w:val="wz1"/>
    <w:basedOn w:val="a"/>
    <w:rsid w:val="006E7E8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E7E8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E7E82"/>
    <w:rPr>
      <w:rFonts w:ascii="仿宋_GB2312" w:eastAsia="仿宋_GB2312" w:hAnsi="Times New Roman" w:cs="Times New Roman"/>
      <w:color w:val="000000"/>
      <w:kern w:val="0"/>
      <w:sz w:val="24"/>
      <w:szCs w:val="28"/>
    </w:rPr>
  </w:style>
  <w:style w:type="character" w:customStyle="1" w:styleId="read">
    <w:name w:val="read"/>
    <w:basedOn w:val="a1"/>
    <w:rsid w:val="006E7E82"/>
  </w:style>
  <w:style w:type="paragraph" w:styleId="a0">
    <w:name w:val="Normal Indent"/>
    <w:basedOn w:val="a"/>
    <w:rsid w:val="006E7E82"/>
    <w:pPr>
      <w:ind w:firstLineChars="200" w:firstLine="420"/>
    </w:pPr>
  </w:style>
  <w:style w:type="paragraph" w:styleId="ab">
    <w:name w:val="Body Text Indent"/>
    <w:basedOn w:val="a"/>
    <w:link w:val="Char2"/>
    <w:rsid w:val="006E7E82"/>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E7E82"/>
    <w:rPr>
      <w:rFonts w:ascii="Times New Roman" w:eastAsia="方正仿宋简体" w:hAnsi="Times New Roman" w:cs="Times New Roman"/>
      <w:sz w:val="24"/>
      <w:szCs w:val="30"/>
    </w:rPr>
  </w:style>
  <w:style w:type="paragraph" w:styleId="20">
    <w:name w:val="Body Text Indent 2"/>
    <w:basedOn w:val="a"/>
    <w:link w:val="2Char0"/>
    <w:rsid w:val="006E7E82"/>
    <w:pPr>
      <w:spacing w:line="360" w:lineRule="auto"/>
      <w:ind w:firstLine="525"/>
    </w:pPr>
    <w:rPr>
      <w:rFonts w:ascii="宋体" w:hAnsi="宋体"/>
      <w:sz w:val="28"/>
      <w:szCs w:val="20"/>
    </w:rPr>
  </w:style>
  <w:style w:type="character" w:customStyle="1" w:styleId="2Char0">
    <w:name w:val="正文文本缩进 2 Char"/>
    <w:basedOn w:val="a1"/>
    <w:link w:val="20"/>
    <w:rsid w:val="006E7E82"/>
    <w:rPr>
      <w:rFonts w:ascii="宋体" w:eastAsia="宋体" w:hAnsi="宋体" w:cs="Times New Roman"/>
      <w:sz w:val="28"/>
      <w:szCs w:val="20"/>
    </w:rPr>
  </w:style>
  <w:style w:type="paragraph" w:styleId="3">
    <w:name w:val="Body Text Indent 3"/>
    <w:basedOn w:val="a"/>
    <w:link w:val="3Char"/>
    <w:rsid w:val="006E7E82"/>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E7E82"/>
    <w:rPr>
      <w:rFonts w:ascii="仿宋_GB2312" w:eastAsia="仿宋_GB2312" w:hAnsi="宋体" w:cs="Arial"/>
      <w:color w:val="000000"/>
      <w:sz w:val="24"/>
      <w:szCs w:val="24"/>
    </w:rPr>
  </w:style>
  <w:style w:type="paragraph" w:styleId="10">
    <w:name w:val="toc 1"/>
    <w:basedOn w:val="a"/>
    <w:next w:val="a"/>
    <w:autoRedefine/>
    <w:semiHidden/>
    <w:rsid w:val="006E7E82"/>
  </w:style>
  <w:style w:type="paragraph" w:styleId="21">
    <w:name w:val="toc 2"/>
    <w:basedOn w:val="a"/>
    <w:next w:val="a"/>
    <w:autoRedefine/>
    <w:semiHidden/>
    <w:rsid w:val="006E7E82"/>
    <w:pPr>
      <w:ind w:leftChars="200" w:left="420"/>
    </w:pPr>
  </w:style>
  <w:style w:type="paragraph" w:styleId="30">
    <w:name w:val="toc 3"/>
    <w:basedOn w:val="a"/>
    <w:next w:val="a"/>
    <w:autoRedefine/>
    <w:semiHidden/>
    <w:rsid w:val="006E7E82"/>
    <w:pPr>
      <w:ind w:leftChars="400" w:left="840"/>
    </w:pPr>
  </w:style>
  <w:style w:type="paragraph" w:styleId="4">
    <w:name w:val="toc 4"/>
    <w:basedOn w:val="a"/>
    <w:next w:val="a"/>
    <w:autoRedefine/>
    <w:semiHidden/>
    <w:rsid w:val="006E7E82"/>
    <w:pPr>
      <w:ind w:leftChars="600" w:left="1260"/>
    </w:pPr>
  </w:style>
  <w:style w:type="paragraph" w:styleId="5">
    <w:name w:val="toc 5"/>
    <w:basedOn w:val="a"/>
    <w:next w:val="a"/>
    <w:autoRedefine/>
    <w:semiHidden/>
    <w:rsid w:val="006E7E82"/>
    <w:pPr>
      <w:ind w:leftChars="800" w:left="1680"/>
    </w:pPr>
  </w:style>
  <w:style w:type="paragraph" w:styleId="6">
    <w:name w:val="toc 6"/>
    <w:basedOn w:val="a"/>
    <w:next w:val="a"/>
    <w:autoRedefine/>
    <w:semiHidden/>
    <w:rsid w:val="006E7E82"/>
    <w:pPr>
      <w:ind w:leftChars="1000" w:left="2100"/>
    </w:pPr>
  </w:style>
  <w:style w:type="paragraph" w:styleId="7">
    <w:name w:val="toc 7"/>
    <w:basedOn w:val="a"/>
    <w:next w:val="a"/>
    <w:autoRedefine/>
    <w:semiHidden/>
    <w:rsid w:val="006E7E82"/>
    <w:pPr>
      <w:ind w:leftChars="1200" w:left="2520"/>
    </w:pPr>
  </w:style>
  <w:style w:type="paragraph" w:styleId="8">
    <w:name w:val="toc 8"/>
    <w:basedOn w:val="a"/>
    <w:next w:val="a"/>
    <w:autoRedefine/>
    <w:semiHidden/>
    <w:rsid w:val="006E7E82"/>
    <w:pPr>
      <w:ind w:leftChars="1400" w:left="2940"/>
    </w:pPr>
  </w:style>
  <w:style w:type="paragraph" w:styleId="9">
    <w:name w:val="toc 9"/>
    <w:basedOn w:val="a"/>
    <w:next w:val="a"/>
    <w:autoRedefine/>
    <w:semiHidden/>
    <w:rsid w:val="006E7E82"/>
    <w:pPr>
      <w:ind w:leftChars="1600" w:left="3360"/>
    </w:pPr>
  </w:style>
  <w:style w:type="paragraph" w:styleId="ac">
    <w:name w:val="Balloon Text"/>
    <w:basedOn w:val="a"/>
    <w:link w:val="Char3"/>
    <w:semiHidden/>
    <w:rsid w:val="006E7E82"/>
    <w:rPr>
      <w:sz w:val="18"/>
      <w:szCs w:val="18"/>
    </w:rPr>
  </w:style>
  <w:style w:type="character" w:customStyle="1" w:styleId="Char3">
    <w:name w:val="批注框文本 Char"/>
    <w:basedOn w:val="a1"/>
    <w:link w:val="ac"/>
    <w:semiHidden/>
    <w:rsid w:val="006E7E82"/>
    <w:rPr>
      <w:rFonts w:ascii="Times New Roman" w:eastAsia="宋体" w:hAnsi="Times New Roman" w:cs="Times New Roman"/>
      <w:sz w:val="18"/>
      <w:szCs w:val="18"/>
    </w:rPr>
  </w:style>
  <w:style w:type="paragraph" w:customStyle="1" w:styleId="Char4">
    <w:name w:val="Char"/>
    <w:basedOn w:val="a"/>
    <w:rsid w:val="006E7E82"/>
  </w:style>
  <w:style w:type="paragraph" w:customStyle="1" w:styleId="Char10">
    <w:name w:val="Char1"/>
    <w:basedOn w:val="a"/>
    <w:autoRedefine/>
    <w:rsid w:val="006E7E8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E7E82"/>
  </w:style>
  <w:style w:type="character" w:styleId="ad">
    <w:name w:val="annotation reference"/>
    <w:basedOn w:val="a1"/>
    <w:semiHidden/>
    <w:rsid w:val="006E7E82"/>
    <w:rPr>
      <w:sz w:val="21"/>
      <w:szCs w:val="21"/>
    </w:rPr>
  </w:style>
  <w:style w:type="paragraph" w:styleId="ae">
    <w:name w:val="annotation text"/>
    <w:basedOn w:val="a"/>
    <w:link w:val="Char5"/>
    <w:semiHidden/>
    <w:rsid w:val="006E7E82"/>
    <w:pPr>
      <w:jc w:val="left"/>
    </w:pPr>
  </w:style>
  <w:style w:type="character" w:customStyle="1" w:styleId="Char5">
    <w:name w:val="批注文字 Char"/>
    <w:basedOn w:val="a1"/>
    <w:link w:val="ae"/>
    <w:semiHidden/>
    <w:rsid w:val="006E7E8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E7E82"/>
  </w:style>
  <w:style w:type="paragraph" w:customStyle="1" w:styleId="CharChar">
    <w:name w:val="Char Char"/>
    <w:basedOn w:val="a"/>
    <w:rsid w:val="006E7E82"/>
    <w:rPr>
      <w:szCs w:val="20"/>
    </w:rPr>
  </w:style>
  <w:style w:type="paragraph" w:styleId="HTML">
    <w:name w:val="HTML Preformatted"/>
    <w:basedOn w:val="a"/>
    <w:link w:val="HTMLChar"/>
    <w:uiPriority w:val="99"/>
    <w:unhideWhenUsed/>
    <w:rsid w:val="006E7E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E7E82"/>
    <w:rPr>
      <w:rFonts w:ascii="宋体" w:eastAsia="宋体" w:hAnsi="宋体" w:cs="宋体"/>
      <w:kern w:val="0"/>
      <w:sz w:val="24"/>
      <w:szCs w:val="24"/>
    </w:rPr>
  </w:style>
  <w:style w:type="paragraph" w:styleId="af">
    <w:name w:val="annotation subject"/>
    <w:basedOn w:val="ae"/>
    <w:next w:val="ae"/>
    <w:link w:val="Char6"/>
    <w:rsid w:val="006E7E82"/>
    <w:rPr>
      <w:b/>
      <w:bCs/>
    </w:rPr>
  </w:style>
  <w:style w:type="character" w:customStyle="1" w:styleId="Char6">
    <w:name w:val="批注主题 Char"/>
    <w:basedOn w:val="Char5"/>
    <w:link w:val="af"/>
    <w:rsid w:val="006E7E82"/>
    <w:rPr>
      <w:rFonts w:ascii="Times New Roman" w:eastAsia="宋体" w:hAnsi="Times New Roman" w:cs="Times New Roman"/>
      <w:b/>
      <w:bCs/>
      <w:szCs w:val="24"/>
    </w:rPr>
  </w:style>
  <w:style w:type="paragraph" w:customStyle="1" w:styleId="af0">
    <w:uiPriority w:val="99"/>
    <w:unhideWhenUsed/>
    <w:rsid w:val="006E7E82"/>
  </w:style>
  <w:style w:type="paragraph" w:styleId="af1">
    <w:name w:val="Revision"/>
    <w:hidden/>
    <w:uiPriority w:val="99"/>
    <w:semiHidden/>
    <w:rsid w:val="006E7E82"/>
    <w:rPr>
      <w:rFonts w:ascii="Times New Roman" w:eastAsia="宋体" w:hAnsi="Times New Roman" w:cs="Times New Roman"/>
      <w:szCs w:val="24"/>
    </w:rPr>
  </w:style>
  <w:style w:type="character" w:styleId="af2">
    <w:name w:val="FollowedHyperlink"/>
    <w:basedOn w:val="a1"/>
    <w:uiPriority w:val="99"/>
    <w:semiHidden/>
    <w:unhideWhenUsed/>
    <w:rsid w:val="006E7E82"/>
    <w:rPr>
      <w:color w:val="800080" w:themeColor="followedHyperlink"/>
      <w:u w:val="single"/>
    </w:rPr>
  </w:style>
  <w:style w:type="paragraph" w:styleId="af3">
    <w:name w:val="Plain Text"/>
    <w:basedOn w:val="a"/>
    <w:link w:val="Char7"/>
    <w:rsid w:val="00091B90"/>
    <w:pPr>
      <w:adjustRightInd w:val="0"/>
      <w:spacing w:line="360" w:lineRule="atLeast"/>
      <w:textAlignment w:val="baseline"/>
    </w:pPr>
    <w:rPr>
      <w:rFonts w:ascii="宋体" w:hAnsi="Courier New"/>
      <w:szCs w:val="20"/>
    </w:rPr>
  </w:style>
  <w:style w:type="character" w:customStyle="1" w:styleId="Char7">
    <w:name w:val="纯文本 Char"/>
    <w:basedOn w:val="a1"/>
    <w:link w:val="af3"/>
    <w:rsid w:val="00091B90"/>
    <w:rPr>
      <w:rFonts w:ascii="宋体" w:eastAsia="宋体" w:hAnsi="Courier New" w:cs="Times New Roman"/>
      <w:szCs w:val="20"/>
    </w:rPr>
  </w:style>
  <w:style w:type="character" w:customStyle="1" w:styleId="1Char">
    <w:name w:val="标题 1 Char"/>
    <w:aliases w:val="H1 Char,Heading 0 Char"/>
    <w:basedOn w:val="a1"/>
    <w:link w:val="1"/>
    <w:uiPriority w:val="99"/>
    <w:rsid w:val="00091B90"/>
    <w:rPr>
      <w:rFonts w:ascii="Times New Roman" w:eastAsia="宋体" w:hAnsi="Times New Roman" w:cs="Times New Roman"/>
      <w:b/>
      <w:bCs/>
      <w:kern w:val="44"/>
      <w:sz w:val="44"/>
      <w:szCs w:val="44"/>
    </w:rPr>
  </w:style>
  <w:style w:type="paragraph" w:styleId="TOC">
    <w:name w:val="TOC Heading"/>
    <w:basedOn w:val="1"/>
    <w:next w:val="a"/>
    <w:uiPriority w:val="99"/>
    <w:qFormat/>
    <w:rsid w:val="00091B90"/>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4362</Words>
  <Characters>24865</Characters>
  <Application>Microsoft Office Word</Application>
  <DocSecurity>0</DocSecurity>
  <Lines>207</Lines>
  <Paragraphs>58</Paragraphs>
  <ScaleCrop>false</ScaleCrop>
  <Company/>
  <LinksUpToDate>false</LinksUpToDate>
  <CharactersWithSpaces>29169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袁婷婷</dc:creator>
  <cp:lastModifiedBy>陈璘</cp:lastModifiedBy>
  <cp:revision>2</cp:revision>
  <cp:lastPrinted>2016-07-04T07:50:00Z</cp:lastPrinted>
  <dcterms:created xsi:type="dcterms:W3CDTF">2016-11-09T09:29:00Z</dcterms:created>
  <dcterms:modified xsi:type="dcterms:W3CDTF">2016-11-09T09:29:00Z</dcterms:modified>
</cp:coreProperties>
</file>