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62D60" w14:textId="77777777" w:rsidR="00454FF7" w:rsidRDefault="00454FF7" w:rsidP="00425B28">
      <w:pPr>
        <w:adjustRightInd w:val="0"/>
        <w:snapToGrid w:val="0"/>
        <w:spacing w:line="560" w:lineRule="exact"/>
        <w:jc w:val="left"/>
        <w:rPr>
          <w:rFonts w:eastAsia="彩虹小标宋"/>
          <w:b/>
          <w:bCs/>
          <w:sz w:val="28"/>
          <w:szCs w:val="28"/>
        </w:rPr>
      </w:pPr>
      <w:r>
        <w:rPr>
          <w:rFonts w:eastAsia="彩虹小标宋"/>
          <w:b/>
          <w:bCs/>
          <w:sz w:val="28"/>
          <w:szCs w:val="28"/>
        </w:rPr>
        <w:t>[</w:t>
      </w:r>
      <w:r>
        <w:rPr>
          <w:rFonts w:eastAsia="彩虹小标宋" w:cs="彩虹小标宋" w:hint="eastAsia"/>
          <w:b/>
          <w:bCs/>
          <w:sz w:val="28"/>
          <w:szCs w:val="28"/>
        </w:rPr>
        <w:t>新闻稿</w:t>
      </w:r>
      <w:r>
        <w:rPr>
          <w:rFonts w:eastAsia="彩虹小标宋"/>
          <w:b/>
          <w:bCs/>
          <w:sz w:val="28"/>
          <w:szCs w:val="28"/>
        </w:rPr>
        <w:t>]</w:t>
      </w:r>
    </w:p>
    <w:p w14:paraId="3917A41A" w14:textId="77777777" w:rsidR="00454FF7" w:rsidRPr="00454FF7" w:rsidRDefault="00454FF7" w:rsidP="00425B28">
      <w:pPr>
        <w:adjustRightInd w:val="0"/>
        <w:snapToGrid w:val="0"/>
        <w:spacing w:line="560" w:lineRule="exact"/>
        <w:jc w:val="left"/>
        <w:rPr>
          <w:rFonts w:eastAsia="彩虹小标宋" w:cs="Times New Roman"/>
          <w:sz w:val="28"/>
          <w:szCs w:val="28"/>
        </w:rPr>
      </w:pPr>
      <w:r>
        <w:rPr>
          <w:rFonts w:eastAsia="彩虹小标宋" w:cs="彩虹小标宋" w:hint="eastAsia"/>
          <w:sz w:val="28"/>
          <w:szCs w:val="28"/>
        </w:rPr>
        <w:t>即时发布</w:t>
      </w:r>
    </w:p>
    <w:p w14:paraId="0E399F91" w14:textId="21D73A47" w:rsidR="00454FF7" w:rsidRDefault="0067192D" w:rsidP="00C56339">
      <w:pPr>
        <w:spacing w:line="560" w:lineRule="exact"/>
        <w:jc w:val="center"/>
        <w:rPr>
          <w:rFonts w:ascii="Calibri" w:eastAsia="彩虹小标宋" w:hAnsi="Calibri" w:cs="Calibri"/>
          <w:b/>
          <w:bCs/>
          <w:sz w:val="44"/>
          <w:szCs w:val="44"/>
        </w:rPr>
      </w:pPr>
      <w:r w:rsidRPr="00454FF7">
        <w:rPr>
          <w:rFonts w:ascii="Calibri" w:eastAsia="彩虹小标宋" w:hAnsi="Calibri" w:cs="Calibri" w:hint="eastAsia"/>
          <w:b/>
          <w:bCs/>
          <w:sz w:val="44"/>
          <w:szCs w:val="44"/>
        </w:rPr>
        <w:t>服务实体</w:t>
      </w:r>
      <w:r>
        <w:rPr>
          <w:rFonts w:ascii="Calibri" w:eastAsia="彩虹小标宋" w:hAnsi="Calibri" w:cs="Calibri" w:hint="eastAsia"/>
          <w:b/>
          <w:bCs/>
          <w:sz w:val="44"/>
          <w:szCs w:val="44"/>
        </w:rPr>
        <w:t>坚守本源</w:t>
      </w:r>
      <w:r>
        <w:rPr>
          <w:rFonts w:ascii="Calibri" w:eastAsia="彩虹小标宋" w:hAnsi="Calibri" w:cs="Calibri" w:hint="eastAsia"/>
          <w:b/>
          <w:bCs/>
          <w:sz w:val="44"/>
          <w:szCs w:val="44"/>
        </w:rPr>
        <w:t xml:space="preserve"> </w:t>
      </w:r>
      <w:r>
        <w:rPr>
          <w:rFonts w:ascii="Calibri" w:eastAsia="彩虹小标宋" w:hAnsi="Calibri" w:cs="Calibri" w:hint="eastAsia"/>
          <w:b/>
          <w:bCs/>
          <w:sz w:val="44"/>
          <w:szCs w:val="44"/>
        </w:rPr>
        <w:t>聚焦民生</w:t>
      </w:r>
      <w:proofErr w:type="gramStart"/>
      <w:r>
        <w:rPr>
          <w:rFonts w:ascii="Calibri" w:eastAsia="彩虹小标宋" w:hAnsi="Calibri" w:cs="Calibri" w:hint="eastAsia"/>
          <w:b/>
          <w:bCs/>
          <w:sz w:val="44"/>
          <w:szCs w:val="44"/>
        </w:rPr>
        <w:t>践行</w:t>
      </w:r>
      <w:proofErr w:type="gramEnd"/>
      <w:r>
        <w:rPr>
          <w:rFonts w:ascii="Calibri" w:eastAsia="彩虹小标宋" w:hAnsi="Calibri" w:cs="Calibri" w:hint="eastAsia"/>
          <w:b/>
          <w:bCs/>
          <w:sz w:val="44"/>
          <w:szCs w:val="44"/>
        </w:rPr>
        <w:t>责任</w:t>
      </w:r>
      <w:r w:rsidR="001D2D3B">
        <w:rPr>
          <w:rFonts w:ascii="Calibri" w:eastAsia="彩虹小标宋" w:hAnsi="Calibri" w:cs="Calibri" w:hint="eastAsia"/>
          <w:b/>
          <w:bCs/>
          <w:sz w:val="44"/>
          <w:szCs w:val="44"/>
        </w:rPr>
        <w:t xml:space="preserve"> </w:t>
      </w:r>
    </w:p>
    <w:p w14:paraId="53AB471B" w14:textId="77777777" w:rsidR="00454FF7" w:rsidRDefault="00454FF7" w:rsidP="00425B28">
      <w:pPr>
        <w:spacing w:line="560" w:lineRule="exact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中国建设银行公布</w:t>
      </w:r>
      <w:r w:rsidR="002667E9">
        <w:rPr>
          <w:rFonts w:ascii="楷体" w:eastAsia="楷体" w:hAnsi="楷体" w:hint="eastAsia"/>
          <w:b/>
          <w:sz w:val="36"/>
          <w:szCs w:val="36"/>
        </w:rPr>
        <w:t>2019</w:t>
      </w:r>
      <w:r>
        <w:rPr>
          <w:rFonts w:ascii="楷体" w:eastAsia="楷体" w:hAnsi="楷体" w:hint="eastAsia"/>
          <w:b/>
          <w:sz w:val="36"/>
          <w:szCs w:val="36"/>
        </w:rPr>
        <w:t>年度经营业绩</w:t>
      </w:r>
    </w:p>
    <w:p w14:paraId="6CD3B0F2" w14:textId="77777777" w:rsidR="00454FF7" w:rsidRPr="00454FF7" w:rsidRDefault="00454FF7" w:rsidP="00425B28">
      <w:pPr>
        <w:spacing w:line="560" w:lineRule="exact"/>
        <w:jc w:val="center"/>
        <w:rPr>
          <w:sz w:val="44"/>
          <w:szCs w:val="44"/>
        </w:rPr>
      </w:pPr>
    </w:p>
    <w:p w14:paraId="10382176" w14:textId="77777777" w:rsidR="00454FF7" w:rsidRDefault="0067192D" w:rsidP="00425B28">
      <w:pPr>
        <w:widowControl/>
        <w:spacing w:line="560" w:lineRule="exact"/>
        <w:ind w:firstLineChars="200" w:firstLine="643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彩虹粗仿宋" w:eastAsia="彩虹粗仿宋" w:hint="eastAsia"/>
          <w:b/>
          <w:kern w:val="0"/>
          <w:sz w:val="32"/>
          <w:szCs w:val="32"/>
        </w:rPr>
        <w:t>2019</w:t>
      </w:r>
      <w:r w:rsidR="00454FF7">
        <w:rPr>
          <w:rFonts w:ascii="彩虹粗仿宋" w:eastAsia="彩虹粗仿宋" w:cs="宋体" w:hint="eastAsia"/>
          <w:b/>
          <w:kern w:val="0"/>
          <w:sz w:val="32"/>
          <w:szCs w:val="32"/>
        </w:rPr>
        <w:t>年财务数据摘要（人民币）：</w:t>
      </w:r>
    </w:p>
    <w:p w14:paraId="546874EC" w14:textId="77777777" w:rsidR="00454FF7" w:rsidRDefault="00454FF7" w:rsidP="00425B28">
      <w:pPr>
        <w:widowControl/>
        <w:spacing w:line="56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•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ab/>
      </w:r>
      <w:r>
        <w:rPr>
          <w:rFonts w:ascii="彩虹粗仿宋" w:eastAsia="彩虹粗仿宋" w:cs="宋体" w:hint="eastAsia"/>
          <w:kern w:val="0"/>
          <w:sz w:val="32"/>
          <w:szCs w:val="32"/>
        </w:rPr>
        <w:t>集团资产总额</w:t>
      </w:r>
      <w:r w:rsidR="0067192D">
        <w:rPr>
          <w:rFonts w:ascii="彩虹粗仿宋" w:eastAsia="彩虹粗仿宋" w:hAnsi="宋体" w:cs="宋体"/>
          <w:kern w:val="0"/>
          <w:sz w:val="32"/>
          <w:szCs w:val="32"/>
        </w:rPr>
        <w:t>2</w:t>
      </w:r>
      <w:r w:rsidR="0067192D">
        <w:rPr>
          <w:rFonts w:ascii="彩虹粗仿宋" w:eastAsia="彩虹粗仿宋" w:hAnsi="宋体" w:cs="宋体" w:hint="eastAsia"/>
          <w:kern w:val="0"/>
          <w:sz w:val="32"/>
          <w:szCs w:val="32"/>
        </w:rPr>
        <w:t>5</w:t>
      </w:r>
      <w:r w:rsidR="0067192D">
        <w:rPr>
          <w:rFonts w:ascii="彩虹粗仿宋" w:eastAsia="彩虹粗仿宋" w:hAnsi="宋体" w:cs="宋体"/>
          <w:kern w:val="0"/>
          <w:sz w:val="32"/>
          <w:szCs w:val="32"/>
        </w:rPr>
        <w:t>.</w:t>
      </w:r>
      <w:r w:rsidR="0067192D">
        <w:rPr>
          <w:rFonts w:ascii="彩虹粗仿宋" w:eastAsia="彩虹粗仿宋" w:hAnsi="宋体" w:cs="宋体" w:hint="eastAsia"/>
          <w:kern w:val="0"/>
          <w:sz w:val="32"/>
          <w:szCs w:val="32"/>
        </w:rPr>
        <w:t>44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万</w:t>
      </w:r>
      <w:r>
        <w:rPr>
          <w:rFonts w:ascii="彩虹粗仿宋" w:eastAsia="彩虹粗仿宋" w:cs="宋体" w:hint="eastAsia"/>
          <w:kern w:val="0"/>
          <w:sz w:val="32"/>
          <w:szCs w:val="32"/>
        </w:rPr>
        <w:t>亿元，较上年增长</w:t>
      </w:r>
      <w:r w:rsidR="0067192D">
        <w:rPr>
          <w:rFonts w:ascii="彩虹粗仿宋" w:eastAsia="彩虹粗仿宋" w:hAnsi="宋体" w:cs="宋体" w:hint="eastAsia"/>
          <w:kern w:val="0"/>
          <w:sz w:val="32"/>
          <w:szCs w:val="32"/>
        </w:rPr>
        <w:t>9.53</w:t>
      </w:r>
      <w:r>
        <w:rPr>
          <w:rFonts w:ascii="彩虹粗仿宋" w:eastAsia="彩虹粗仿宋" w:hint="eastAsia"/>
          <w:kern w:val="0"/>
          <w:sz w:val="32"/>
          <w:szCs w:val="32"/>
        </w:rPr>
        <w:t>%</w:t>
      </w:r>
      <w:r>
        <w:rPr>
          <w:rFonts w:ascii="彩虹粗仿宋" w:eastAsia="彩虹粗仿宋" w:cs="宋体" w:hint="eastAsia"/>
          <w:kern w:val="0"/>
          <w:sz w:val="32"/>
          <w:szCs w:val="32"/>
        </w:rPr>
        <w:t>。</w:t>
      </w:r>
    </w:p>
    <w:p w14:paraId="465A5F65" w14:textId="77777777" w:rsidR="00454FF7" w:rsidRDefault="00454FF7" w:rsidP="00425B28">
      <w:pPr>
        <w:widowControl/>
        <w:spacing w:line="560" w:lineRule="exact"/>
        <w:ind w:firstLineChars="200" w:firstLine="640"/>
        <w:rPr>
          <w:rFonts w:ascii="彩虹粗仿宋" w:eastAsia="彩虹粗仿宋" w:hAnsi="Calibri" w:cs="宋体"/>
          <w:kern w:val="0"/>
          <w:sz w:val="32"/>
          <w:szCs w:val="32"/>
        </w:rPr>
      </w:pPr>
      <w:r w:rsidRPr="002A4DF5">
        <w:rPr>
          <w:rFonts w:ascii="宋体" w:hAnsi="宋体" w:cs="宋体" w:hint="eastAsia"/>
          <w:kern w:val="0"/>
          <w:sz w:val="32"/>
          <w:szCs w:val="32"/>
        </w:rPr>
        <w:t>•</w:t>
      </w:r>
      <w:r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ab/>
      </w:r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净利润</w:t>
      </w:r>
      <w:r w:rsidR="003B071B" w:rsidRPr="002A4DF5">
        <w:rPr>
          <w:rFonts w:ascii="彩虹粗仿宋" w:eastAsia="彩虹粗仿宋" w:cs="宋体"/>
          <w:kern w:val="0"/>
          <w:sz w:val="32"/>
          <w:szCs w:val="32"/>
        </w:rPr>
        <w:t>2,</w:t>
      </w:r>
      <w:r w:rsidR="0067192D" w:rsidRPr="002A4DF5">
        <w:rPr>
          <w:rFonts w:ascii="彩虹粗仿宋" w:eastAsia="彩虹粗仿宋" w:cs="宋体" w:hint="eastAsia"/>
          <w:kern w:val="0"/>
          <w:sz w:val="32"/>
          <w:szCs w:val="32"/>
        </w:rPr>
        <w:t>692.22</w:t>
      </w:r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亿元，增长</w:t>
      </w:r>
      <w:r w:rsidR="0067192D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5.32</w:t>
      </w:r>
      <w:r w:rsidRPr="002A4DF5">
        <w:rPr>
          <w:rFonts w:ascii="彩虹粗仿宋" w:eastAsia="彩虹粗仿宋" w:hint="eastAsia"/>
          <w:kern w:val="0"/>
          <w:sz w:val="32"/>
          <w:szCs w:val="32"/>
        </w:rPr>
        <w:t>%；</w:t>
      </w:r>
      <w:r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归属于本行股东净利润</w:t>
      </w:r>
      <w:r w:rsidR="003B071B" w:rsidRPr="002A4DF5">
        <w:rPr>
          <w:rFonts w:ascii="彩虹粗仿宋" w:eastAsia="彩虹粗仿宋" w:hAnsi="宋体" w:cs="宋体"/>
          <w:kern w:val="0"/>
          <w:sz w:val="32"/>
          <w:szCs w:val="32"/>
        </w:rPr>
        <w:t>2</w:t>
      </w:r>
      <w:r w:rsidR="003B071B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,</w:t>
      </w:r>
      <w:r w:rsidR="002A4DF5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667.33</w:t>
      </w:r>
      <w:r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亿元，增长</w:t>
      </w:r>
      <w:r w:rsidR="002A4DF5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4.74</w:t>
      </w:r>
      <w:r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%；</w:t>
      </w:r>
      <w:r w:rsidR="003B071B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利息净收入</w:t>
      </w:r>
      <w:r w:rsidR="002A4DF5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5</w:t>
      </w:r>
      <w:r w:rsidR="003B071B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,</w:t>
      </w:r>
      <w:r w:rsidR="002A4DF5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106</w:t>
      </w:r>
      <w:r w:rsidR="003B071B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.</w:t>
      </w:r>
      <w:r w:rsidR="002A4DF5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80</w:t>
      </w:r>
      <w:r w:rsidR="003B071B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亿元,增长</w:t>
      </w:r>
      <w:r w:rsidR="002A4DF5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5.02</w:t>
      </w:r>
      <w:r w:rsidR="003B071B" w:rsidRPr="002A4DF5">
        <w:rPr>
          <w:rFonts w:ascii="彩虹粗仿宋" w:eastAsia="彩虹粗仿宋" w:hAnsi="宋体" w:cs="宋体" w:hint="eastAsia"/>
          <w:kern w:val="0"/>
          <w:sz w:val="32"/>
          <w:szCs w:val="32"/>
        </w:rPr>
        <w:t>%;</w:t>
      </w:r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净利息收益率（</w:t>
      </w:r>
      <w:r w:rsidRPr="002A4DF5">
        <w:rPr>
          <w:rFonts w:ascii="彩虹粗仿宋" w:eastAsia="彩虹粗仿宋" w:hint="eastAsia"/>
          <w:kern w:val="0"/>
          <w:sz w:val="32"/>
          <w:szCs w:val="32"/>
        </w:rPr>
        <w:t>NIM</w:t>
      </w:r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）</w:t>
      </w:r>
      <w:r w:rsidR="002A4DF5" w:rsidRPr="002A4DF5">
        <w:rPr>
          <w:rFonts w:ascii="彩虹粗仿宋" w:eastAsia="彩虹粗仿宋" w:cs="宋体" w:hint="eastAsia"/>
          <w:kern w:val="0"/>
          <w:sz w:val="32"/>
          <w:szCs w:val="32"/>
        </w:rPr>
        <w:t>2.26</w:t>
      </w:r>
      <w:r w:rsidRPr="002A4DF5">
        <w:rPr>
          <w:rFonts w:ascii="彩虹粗仿宋" w:eastAsia="彩虹粗仿宋" w:hint="eastAsia"/>
          <w:kern w:val="0"/>
          <w:sz w:val="32"/>
          <w:szCs w:val="32"/>
        </w:rPr>
        <w:t>%</w:t>
      </w:r>
      <w:r w:rsidR="004A2145" w:rsidRPr="002A4DF5">
        <w:rPr>
          <w:rFonts w:ascii="彩虹粗仿宋" w:eastAsia="彩虹粗仿宋" w:hint="eastAsia"/>
          <w:kern w:val="0"/>
          <w:sz w:val="32"/>
          <w:szCs w:val="32"/>
        </w:rPr>
        <w:t>，同比</w:t>
      </w:r>
      <w:r w:rsidR="002A4DF5" w:rsidRPr="002A4DF5">
        <w:rPr>
          <w:rFonts w:ascii="彩虹粗仿宋" w:eastAsia="彩虹粗仿宋" w:hint="eastAsia"/>
          <w:kern w:val="0"/>
          <w:sz w:val="32"/>
          <w:szCs w:val="32"/>
        </w:rPr>
        <w:t>下降5</w:t>
      </w:r>
      <w:r w:rsidR="004A2145" w:rsidRPr="002A4DF5">
        <w:rPr>
          <w:rFonts w:ascii="彩虹粗仿宋" w:eastAsia="彩虹粗仿宋" w:hint="eastAsia"/>
          <w:kern w:val="0"/>
          <w:sz w:val="32"/>
          <w:szCs w:val="32"/>
        </w:rPr>
        <w:t>个基点</w:t>
      </w:r>
      <w:r w:rsidR="004A2145" w:rsidRPr="002A4DF5">
        <w:rPr>
          <w:rFonts w:ascii="彩虹粗仿宋" w:eastAsia="彩虹粗仿宋" w:cs="宋体" w:hint="eastAsia"/>
          <w:kern w:val="0"/>
          <w:sz w:val="32"/>
          <w:szCs w:val="32"/>
        </w:rPr>
        <w:t>。</w:t>
      </w:r>
    </w:p>
    <w:p w14:paraId="140A817B" w14:textId="530734ED" w:rsidR="00454FF7" w:rsidRDefault="00454FF7" w:rsidP="00425B28">
      <w:pPr>
        <w:widowControl/>
        <w:spacing w:line="56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•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ab/>
      </w:r>
      <w:r>
        <w:rPr>
          <w:rFonts w:ascii="彩虹粗仿宋" w:eastAsia="彩虹粗仿宋" w:cs="宋体" w:hint="eastAsia"/>
          <w:kern w:val="0"/>
          <w:sz w:val="32"/>
          <w:szCs w:val="32"/>
        </w:rPr>
        <w:t>平均资产回报率和</w:t>
      </w:r>
      <w:r w:rsidR="00C5519D" w:rsidRPr="00C5519D">
        <w:rPr>
          <w:rFonts w:ascii="彩虹粗仿宋" w:eastAsia="彩虹粗仿宋" w:cs="宋体" w:hint="eastAsia"/>
          <w:kern w:val="0"/>
          <w:sz w:val="32"/>
          <w:szCs w:val="32"/>
        </w:rPr>
        <w:t>加权平均净资产收益率</w:t>
      </w:r>
      <w:r>
        <w:rPr>
          <w:rFonts w:ascii="彩虹粗仿宋" w:eastAsia="彩虹粗仿宋" w:cs="宋体" w:hint="eastAsia"/>
          <w:kern w:val="0"/>
          <w:sz w:val="32"/>
          <w:szCs w:val="32"/>
        </w:rPr>
        <w:t>分别为</w:t>
      </w:r>
      <w:r w:rsidR="0067192D">
        <w:rPr>
          <w:rFonts w:ascii="彩虹粗仿宋" w:eastAsia="彩虹粗仿宋" w:hAnsi="宋体" w:cs="宋体"/>
          <w:kern w:val="0"/>
          <w:sz w:val="32"/>
          <w:szCs w:val="32"/>
        </w:rPr>
        <w:t>1.1</w:t>
      </w:r>
      <w:r w:rsidR="0067192D">
        <w:rPr>
          <w:rFonts w:ascii="彩虹粗仿宋" w:eastAsia="彩虹粗仿宋" w:hAnsi="宋体" w:cs="宋体" w:hint="eastAsia"/>
          <w:kern w:val="0"/>
          <w:sz w:val="32"/>
          <w:szCs w:val="32"/>
        </w:rPr>
        <w:t>1</w:t>
      </w:r>
      <w:r>
        <w:rPr>
          <w:rFonts w:ascii="彩虹粗仿宋" w:eastAsia="彩虹粗仿宋" w:hint="eastAsia"/>
          <w:kern w:val="0"/>
          <w:sz w:val="32"/>
          <w:szCs w:val="32"/>
        </w:rPr>
        <w:t>%</w:t>
      </w:r>
      <w:r>
        <w:rPr>
          <w:rFonts w:ascii="彩虹粗仿宋" w:eastAsia="彩虹粗仿宋" w:cs="宋体" w:hint="eastAsia"/>
          <w:kern w:val="0"/>
          <w:sz w:val="32"/>
          <w:szCs w:val="32"/>
        </w:rPr>
        <w:t>和</w:t>
      </w:r>
      <w:r w:rsidR="0067192D">
        <w:rPr>
          <w:rFonts w:ascii="彩虹粗仿宋" w:eastAsia="彩虹粗仿宋" w:cs="宋体"/>
          <w:kern w:val="0"/>
          <w:sz w:val="32"/>
          <w:szCs w:val="32"/>
        </w:rPr>
        <w:t>1</w:t>
      </w:r>
      <w:r w:rsidR="0067192D">
        <w:rPr>
          <w:rFonts w:ascii="彩虹粗仿宋" w:eastAsia="彩虹粗仿宋" w:cs="宋体" w:hint="eastAsia"/>
          <w:kern w:val="0"/>
          <w:sz w:val="32"/>
          <w:szCs w:val="32"/>
        </w:rPr>
        <w:t>3</w:t>
      </w:r>
      <w:r w:rsidR="0067192D">
        <w:rPr>
          <w:rFonts w:ascii="彩虹粗仿宋" w:eastAsia="彩虹粗仿宋" w:cs="宋体"/>
          <w:kern w:val="0"/>
          <w:sz w:val="32"/>
          <w:szCs w:val="32"/>
        </w:rPr>
        <w:t>.</w:t>
      </w:r>
      <w:r w:rsidR="0067192D">
        <w:rPr>
          <w:rFonts w:ascii="彩虹粗仿宋" w:eastAsia="彩虹粗仿宋" w:cs="宋体" w:hint="eastAsia"/>
          <w:kern w:val="0"/>
          <w:sz w:val="32"/>
          <w:szCs w:val="32"/>
        </w:rPr>
        <w:t>18</w:t>
      </w:r>
      <w:r>
        <w:rPr>
          <w:rFonts w:ascii="彩虹粗仿宋" w:eastAsia="彩虹粗仿宋" w:hint="eastAsia"/>
          <w:kern w:val="0"/>
          <w:sz w:val="32"/>
          <w:szCs w:val="32"/>
        </w:rPr>
        <w:t>%</w:t>
      </w:r>
      <w:r>
        <w:rPr>
          <w:rFonts w:ascii="彩虹粗仿宋" w:eastAsia="彩虹粗仿宋" w:cs="宋体" w:hint="eastAsia"/>
          <w:kern w:val="0"/>
          <w:sz w:val="32"/>
          <w:szCs w:val="32"/>
        </w:rPr>
        <w:t>。</w:t>
      </w:r>
    </w:p>
    <w:p w14:paraId="721612B6" w14:textId="3ECDC5CF" w:rsidR="00454FF7" w:rsidRDefault="00454FF7" w:rsidP="00425B28">
      <w:pPr>
        <w:widowControl/>
        <w:spacing w:line="560" w:lineRule="exact"/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•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ab/>
      </w:r>
      <w:r>
        <w:rPr>
          <w:rFonts w:ascii="彩虹粗仿宋" w:eastAsia="彩虹粗仿宋" w:cs="宋体" w:hint="eastAsia"/>
          <w:kern w:val="0"/>
          <w:sz w:val="32"/>
          <w:szCs w:val="32"/>
        </w:rPr>
        <w:t>资本充足率</w:t>
      </w:r>
      <w:r w:rsidR="003B071B" w:rsidRPr="003B071B">
        <w:rPr>
          <w:rFonts w:ascii="彩虹粗仿宋" w:eastAsia="彩虹粗仿宋" w:cs="宋体"/>
          <w:kern w:val="0"/>
          <w:sz w:val="32"/>
          <w:szCs w:val="32"/>
        </w:rPr>
        <w:t>17.</w:t>
      </w:r>
      <w:r w:rsidR="0067192D">
        <w:rPr>
          <w:rFonts w:ascii="彩虹粗仿宋" w:eastAsia="彩虹粗仿宋" w:cs="宋体" w:hint="eastAsia"/>
          <w:kern w:val="0"/>
          <w:sz w:val="32"/>
          <w:szCs w:val="32"/>
        </w:rPr>
        <w:t>52</w:t>
      </w:r>
      <w:r>
        <w:rPr>
          <w:rFonts w:ascii="彩虹粗仿宋" w:eastAsia="彩虹粗仿宋" w:hint="eastAsia"/>
          <w:kern w:val="0"/>
          <w:sz w:val="32"/>
          <w:szCs w:val="32"/>
        </w:rPr>
        <w:t>%</w:t>
      </w:r>
      <w:r>
        <w:rPr>
          <w:rFonts w:ascii="彩虹粗仿宋" w:eastAsia="彩虹粗仿宋" w:cs="宋体" w:hint="eastAsia"/>
          <w:kern w:val="0"/>
          <w:sz w:val="32"/>
          <w:szCs w:val="32"/>
        </w:rPr>
        <w:t>，不良贷款率</w:t>
      </w:r>
      <w:r w:rsidR="0067192D">
        <w:rPr>
          <w:rFonts w:ascii="彩虹粗仿宋" w:eastAsia="彩虹粗仿宋" w:cs="宋体"/>
          <w:kern w:val="0"/>
          <w:sz w:val="32"/>
          <w:szCs w:val="32"/>
        </w:rPr>
        <w:t>1.</w:t>
      </w:r>
      <w:r w:rsidR="0067192D">
        <w:rPr>
          <w:rFonts w:ascii="彩虹粗仿宋" w:eastAsia="彩虹粗仿宋" w:cs="宋体" w:hint="eastAsia"/>
          <w:kern w:val="0"/>
          <w:sz w:val="32"/>
          <w:szCs w:val="32"/>
        </w:rPr>
        <w:t>42</w:t>
      </w:r>
      <w:r>
        <w:rPr>
          <w:rFonts w:ascii="彩虹粗仿宋" w:eastAsia="彩虹粗仿宋" w:hint="eastAsia"/>
          <w:kern w:val="0"/>
          <w:sz w:val="32"/>
          <w:szCs w:val="32"/>
        </w:rPr>
        <w:t>%</w:t>
      </w:r>
      <w:r>
        <w:rPr>
          <w:rFonts w:ascii="彩虹粗仿宋" w:eastAsia="彩虹粗仿宋" w:cs="宋体" w:hint="eastAsia"/>
          <w:kern w:val="0"/>
          <w:sz w:val="32"/>
          <w:szCs w:val="32"/>
        </w:rPr>
        <w:t>，</w:t>
      </w:r>
      <w:r w:rsidR="009F73BF">
        <w:rPr>
          <w:rFonts w:ascii="彩虹粗仿宋" w:eastAsia="彩虹粗仿宋" w:cs="宋体" w:hint="eastAsia"/>
          <w:kern w:val="0"/>
          <w:sz w:val="32"/>
          <w:szCs w:val="32"/>
        </w:rPr>
        <w:t>拨备覆盖率</w:t>
      </w:r>
      <w:r w:rsidR="00135B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2</w:t>
      </w:r>
      <w:r w:rsidR="002A4DF5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27.69</w:t>
      </w:r>
      <w:r>
        <w:rPr>
          <w:rFonts w:ascii="彩虹粗仿宋" w:eastAsia="彩虹粗仿宋" w:hint="eastAsia"/>
          <w:kern w:val="0"/>
          <w:sz w:val="32"/>
          <w:szCs w:val="32"/>
        </w:rPr>
        <w:t>%</w:t>
      </w:r>
    </w:p>
    <w:p w14:paraId="53D8D7D0" w14:textId="77777777" w:rsidR="00454FF7" w:rsidRDefault="00454FF7" w:rsidP="00425B28">
      <w:pPr>
        <w:widowControl/>
        <w:spacing w:line="560" w:lineRule="exact"/>
        <w:ind w:leftChars="152" w:left="319" w:firstLineChars="100" w:firstLine="320"/>
        <w:rPr>
          <w:rFonts w:ascii="彩虹粗仿宋" w:eastAsia="彩虹粗仿宋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•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ab/>
      </w:r>
      <w:r>
        <w:rPr>
          <w:rFonts w:ascii="彩虹粗仿宋" w:eastAsia="彩虹粗仿宋" w:cs="宋体" w:hint="eastAsia"/>
          <w:kern w:val="0"/>
          <w:sz w:val="32"/>
          <w:szCs w:val="32"/>
        </w:rPr>
        <w:t>基于良好的业绩，董事会建议派发末期现金股息每股</w:t>
      </w:r>
      <w:r w:rsidR="009F73BF">
        <w:rPr>
          <w:rFonts w:ascii="彩虹粗仿宋" w:eastAsia="彩虹粗仿宋" w:cs="宋体" w:hint="eastAsia"/>
          <w:kern w:val="0"/>
          <w:sz w:val="32"/>
          <w:szCs w:val="32"/>
        </w:rPr>
        <w:t>0</w:t>
      </w:r>
      <w:r w:rsidR="009F73BF">
        <w:rPr>
          <w:rFonts w:ascii="彩虹粗仿宋" w:eastAsia="彩虹粗仿宋" w:cs="宋体"/>
          <w:kern w:val="0"/>
          <w:sz w:val="32"/>
          <w:szCs w:val="32"/>
        </w:rPr>
        <w:t>.320</w:t>
      </w:r>
      <w:r w:rsidRPr="00140E0A">
        <w:rPr>
          <w:rFonts w:ascii="彩虹粗仿宋" w:eastAsia="彩虹粗仿宋" w:cs="宋体" w:hint="eastAsia"/>
          <w:kern w:val="0"/>
          <w:sz w:val="32"/>
          <w:szCs w:val="32"/>
        </w:rPr>
        <w:t>元</w:t>
      </w:r>
      <w:bookmarkStart w:id="0" w:name="OLE_LINK2"/>
      <w:bookmarkStart w:id="1" w:name="OLE_LINK1"/>
      <w:r w:rsidRPr="00140E0A">
        <w:rPr>
          <w:rFonts w:ascii="彩虹粗仿宋" w:eastAsia="彩虹粗仿宋" w:cs="宋体" w:hint="eastAsia"/>
          <w:kern w:val="0"/>
          <w:sz w:val="32"/>
          <w:szCs w:val="32"/>
        </w:rPr>
        <w:t>(含税)</w:t>
      </w:r>
      <w:bookmarkEnd w:id="0"/>
      <w:bookmarkEnd w:id="1"/>
      <w:r w:rsidRPr="00140E0A">
        <w:rPr>
          <w:rFonts w:ascii="彩虹粗仿宋" w:eastAsia="彩虹粗仿宋" w:cs="宋体" w:hint="eastAsia"/>
          <w:kern w:val="0"/>
          <w:sz w:val="32"/>
          <w:szCs w:val="32"/>
        </w:rPr>
        <w:t>。</w:t>
      </w:r>
    </w:p>
    <w:p w14:paraId="40DC1E9B" w14:textId="77777777" w:rsidR="00454FF7" w:rsidRDefault="00454FF7" w:rsidP="00425B28">
      <w:pPr>
        <w:widowControl/>
        <w:spacing w:line="560" w:lineRule="exact"/>
        <w:ind w:firstLineChars="50" w:firstLine="160"/>
        <w:rPr>
          <w:rFonts w:ascii="彩虹粗仿宋" w:eastAsia="彩虹粗仿宋" w:cs="宋体"/>
          <w:kern w:val="0"/>
          <w:sz w:val="32"/>
          <w:szCs w:val="32"/>
        </w:rPr>
      </w:pPr>
    </w:p>
    <w:p w14:paraId="578EE431" w14:textId="6B37C789" w:rsidR="00983E3F" w:rsidRDefault="002A4DF5" w:rsidP="00425B28">
      <w:pPr>
        <w:widowControl/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</w:rPr>
      </w:pPr>
      <w:r>
        <w:rPr>
          <w:rFonts w:ascii="彩虹粗仿宋" w:eastAsia="彩虹粗仿宋" w:hint="eastAsia"/>
          <w:kern w:val="0"/>
          <w:sz w:val="32"/>
          <w:szCs w:val="32"/>
        </w:rPr>
        <w:t>2020</w:t>
      </w:r>
      <w:r w:rsidR="00454FF7" w:rsidRPr="00E021F1">
        <w:rPr>
          <w:rFonts w:ascii="彩虹粗仿宋" w:eastAsia="彩虹粗仿宋" w:cs="宋体" w:hint="eastAsia"/>
          <w:kern w:val="0"/>
          <w:sz w:val="32"/>
          <w:szCs w:val="32"/>
        </w:rPr>
        <w:t>年</w:t>
      </w:r>
      <w:r w:rsidR="00454FF7" w:rsidRPr="00E021F1">
        <w:rPr>
          <w:rFonts w:ascii="彩虹粗仿宋" w:eastAsia="彩虹粗仿宋" w:hint="eastAsia"/>
          <w:kern w:val="0"/>
          <w:sz w:val="32"/>
          <w:szCs w:val="32"/>
        </w:rPr>
        <w:t>3</w:t>
      </w:r>
      <w:r w:rsidR="00454FF7" w:rsidRPr="00E021F1">
        <w:rPr>
          <w:rFonts w:ascii="彩虹粗仿宋" w:eastAsia="彩虹粗仿宋" w:cs="宋体" w:hint="eastAsia"/>
          <w:kern w:val="0"/>
          <w:sz w:val="32"/>
          <w:szCs w:val="32"/>
        </w:rPr>
        <w:t>月</w:t>
      </w:r>
      <w:r w:rsidR="00454FF7">
        <w:rPr>
          <w:rFonts w:ascii="彩虹粗仿宋" w:eastAsia="彩虹粗仿宋" w:hint="eastAsia"/>
          <w:kern w:val="0"/>
          <w:sz w:val="32"/>
          <w:szCs w:val="32"/>
        </w:rPr>
        <w:t>2</w:t>
      </w:r>
      <w:r w:rsidR="00140E0A">
        <w:rPr>
          <w:rFonts w:ascii="彩虹粗仿宋" w:eastAsia="彩虹粗仿宋" w:hint="eastAsia"/>
          <w:kern w:val="0"/>
          <w:sz w:val="32"/>
          <w:szCs w:val="32"/>
        </w:rPr>
        <w:t>9</w:t>
      </w:r>
      <w:r w:rsidR="00454FF7" w:rsidRPr="00E021F1">
        <w:rPr>
          <w:rFonts w:ascii="彩虹粗仿宋" w:eastAsia="彩虹粗仿宋" w:cs="宋体" w:hint="eastAsia"/>
          <w:kern w:val="0"/>
          <w:sz w:val="32"/>
          <w:szCs w:val="32"/>
        </w:rPr>
        <w:t>日，中国建设银行股份有限公司（股票代码</w:t>
      </w:r>
      <w:r w:rsidR="00454FF7" w:rsidRPr="00E021F1">
        <w:rPr>
          <w:rFonts w:ascii="彩虹粗仿宋" w:eastAsia="彩虹粗仿宋" w:hint="eastAsia"/>
          <w:kern w:val="0"/>
          <w:sz w:val="32"/>
          <w:szCs w:val="32"/>
        </w:rPr>
        <w:t>SH:601939</w:t>
      </w:r>
      <w:r w:rsidR="00454FF7" w:rsidRPr="00E021F1">
        <w:rPr>
          <w:rFonts w:ascii="彩虹粗仿宋" w:eastAsia="彩虹粗仿宋" w:cs="宋体" w:hint="eastAsia"/>
          <w:kern w:val="0"/>
          <w:sz w:val="32"/>
          <w:szCs w:val="32"/>
        </w:rPr>
        <w:t>；</w:t>
      </w:r>
      <w:r w:rsidR="00454FF7" w:rsidRPr="00E021F1">
        <w:rPr>
          <w:rFonts w:ascii="彩虹粗仿宋" w:eastAsia="彩虹粗仿宋" w:hint="eastAsia"/>
          <w:kern w:val="0"/>
          <w:sz w:val="32"/>
          <w:szCs w:val="32"/>
        </w:rPr>
        <w:t>HK:939</w:t>
      </w:r>
      <w:r w:rsidR="00454FF7" w:rsidRPr="00E021F1">
        <w:rPr>
          <w:rFonts w:ascii="彩虹粗仿宋" w:eastAsia="彩虹粗仿宋" w:cs="宋体" w:hint="eastAsia"/>
          <w:kern w:val="0"/>
          <w:sz w:val="32"/>
          <w:szCs w:val="32"/>
        </w:rPr>
        <w:t>）（</w:t>
      </w:r>
      <w:r w:rsidR="00454FF7">
        <w:rPr>
          <w:rFonts w:ascii="彩虹粗仿宋" w:eastAsia="彩虹粗仿宋" w:cs="宋体" w:hint="eastAsia"/>
          <w:kern w:val="0"/>
          <w:sz w:val="32"/>
          <w:szCs w:val="32"/>
        </w:rPr>
        <w:t>以下</w:t>
      </w:r>
      <w:r w:rsidR="00454FF7" w:rsidRPr="00E021F1">
        <w:rPr>
          <w:rFonts w:ascii="彩虹粗仿宋" w:eastAsia="彩虹粗仿宋" w:cs="宋体" w:hint="eastAsia"/>
          <w:kern w:val="0"/>
          <w:sz w:val="32"/>
          <w:szCs w:val="32"/>
        </w:rPr>
        <w:t>简称“建设银行”）公布</w:t>
      </w:r>
      <w:r w:rsidR="00454FF7">
        <w:rPr>
          <w:rFonts w:ascii="彩虹粗仿宋" w:eastAsia="彩虹粗仿宋" w:cs="宋体" w:hint="eastAsia"/>
          <w:kern w:val="0"/>
          <w:sz w:val="32"/>
          <w:szCs w:val="32"/>
        </w:rPr>
        <w:t>了</w:t>
      </w:r>
      <w:r w:rsidR="00454FF7" w:rsidRPr="00E021F1">
        <w:rPr>
          <w:rFonts w:ascii="彩虹粗仿宋" w:eastAsia="彩虹粗仿宋" w:hint="eastAsia"/>
          <w:kern w:val="0"/>
          <w:sz w:val="32"/>
          <w:szCs w:val="32"/>
        </w:rPr>
        <w:t>201</w:t>
      </w:r>
      <w:r>
        <w:rPr>
          <w:rFonts w:ascii="彩虹粗仿宋" w:eastAsia="彩虹粗仿宋" w:hint="eastAsia"/>
          <w:kern w:val="0"/>
          <w:sz w:val="32"/>
          <w:szCs w:val="32"/>
        </w:rPr>
        <w:t>9</w:t>
      </w:r>
      <w:r w:rsidR="00454FF7" w:rsidRPr="00E021F1">
        <w:rPr>
          <w:rFonts w:ascii="彩虹粗仿宋" w:eastAsia="彩虹粗仿宋" w:cs="宋体" w:hint="eastAsia"/>
          <w:kern w:val="0"/>
          <w:sz w:val="32"/>
          <w:szCs w:val="32"/>
        </w:rPr>
        <w:t>年度经营业绩。公告显示，</w:t>
      </w:r>
      <w:r w:rsidR="00454FF7" w:rsidRPr="00E021F1">
        <w:rPr>
          <w:rFonts w:ascii="彩虹粗仿宋" w:eastAsia="彩虹粗仿宋" w:hint="eastAsia"/>
          <w:kern w:val="0"/>
          <w:sz w:val="32"/>
          <w:szCs w:val="32"/>
        </w:rPr>
        <w:t>201</w:t>
      </w:r>
      <w:r>
        <w:rPr>
          <w:rFonts w:ascii="彩虹粗仿宋" w:eastAsia="彩虹粗仿宋" w:hint="eastAsia"/>
          <w:kern w:val="0"/>
          <w:sz w:val="32"/>
          <w:szCs w:val="32"/>
        </w:rPr>
        <w:t>9</w:t>
      </w:r>
      <w:r w:rsidR="00454FF7" w:rsidRPr="00E021F1">
        <w:rPr>
          <w:rFonts w:ascii="彩虹粗仿宋" w:eastAsia="彩虹粗仿宋" w:cs="宋体" w:hint="eastAsia"/>
          <w:kern w:val="0"/>
          <w:sz w:val="32"/>
          <w:szCs w:val="32"/>
        </w:rPr>
        <w:t>年末，</w:t>
      </w:r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集团资产总额25.44</w:t>
      </w:r>
      <w:proofErr w:type="gramStart"/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万亿</w:t>
      </w:r>
      <w:proofErr w:type="gramEnd"/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元，较上年增长9.53%</w:t>
      </w:r>
      <w:r w:rsidR="00454FF7" w:rsidRPr="00262DD7">
        <w:rPr>
          <w:rFonts w:ascii="彩虹粗仿宋" w:eastAsia="彩虹粗仿宋" w:cs="宋体" w:hint="eastAsia"/>
          <w:kern w:val="0"/>
          <w:sz w:val="32"/>
          <w:szCs w:val="32"/>
        </w:rPr>
        <w:t>，</w:t>
      </w:r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其中发放贷款和垫款净额14.54</w:t>
      </w:r>
      <w:proofErr w:type="gramStart"/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万亿</w:t>
      </w:r>
      <w:proofErr w:type="gramEnd"/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元，增幅8.79%。负债总额23.20</w:t>
      </w:r>
      <w:proofErr w:type="gramStart"/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万亿</w:t>
      </w:r>
      <w:proofErr w:type="gramEnd"/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元，增幅9.28%；其中吸收存款18.37</w:t>
      </w:r>
      <w:proofErr w:type="gramStart"/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万亿</w:t>
      </w:r>
      <w:proofErr w:type="gramEnd"/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元，增幅7.35%。</w:t>
      </w:r>
      <w:r w:rsidR="00454FF7" w:rsidRPr="00262DD7">
        <w:rPr>
          <w:rFonts w:ascii="彩虹粗仿宋" w:eastAsia="彩虹粗仿宋" w:cs="宋体" w:hint="eastAsia"/>
          <w:kern w:val="0"/>
          <w:sz w:val="32"/>
          <w:szCs w:val="32"/>
        </w:rPr>
        <w:t>利</w:t>
      </w:r>
      <w:r w:rsidR="00454FF7" w:rsidRPr="00262DD7">
        <w:rPr>
          <w:rFonts w:ascii="彩虹粗仿宋" w:eastAsia="彩虹粗仿宋" w:cs="宋体" w:hint="eastAsia"/>
          <w:kern w:val="0"/>
          <w:sz w:val="32"/>
          <w:szCs w:val="32"/>
        </w:rPr>
        <w:lastRenderedPageBreak/>
        <w:t>润增长态势良好</w:t>
      </w:r>
      <w:r w:rsidR="00753721">
        <w:rPr>
          <w:rFonts w:ascii="彩虹粗仿宋" w:eastAsia="彩虹粗仿宋" w:cs="宋体" w:hint="eastAsia"/>
          <w:kern w:val="0"/>
          <w:sz w:val="32"/>
          <w:szCs w:val="32"/>
        </w:rPr>
        <w:t>，</w:t>
      </w:r>
      <w:r w:rsidR="00753721" w:rsidRPr="00262DD7">
        <w:rPr>
          <w:rFonts w:ascii="彩虹粗仿宋" w:eastAsia="彩虹粗仿宋" w:cs="宋体" w:hint="eastAsia"/>
          <w:kern w:val="0"/>
          <w:sz w:val="32"/>
          <w:szCs w:val="32"/>
        </w:rPr>
        <w:t>核心指标</w:t>
      </w:r>
      <w:proofErr w:type="gramStart"/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均衡向</w:t>
      </w:r>
      <w:proofErr w:type="gramEnd"/>
      <w:r w:rsidRPr="002A4DF5">
        <w:rPr>
          <w:rFonts w:ascii="彩虹粗仿宋" w:eastAsia="彩虹粗仿宋" w:cs="宋体" w:hint="eastAsia"/>
          <w:kern w:val="0"/>
          <w:sz w:val="32"/>
          <w:szCs w:val="32"/>
        </w:rPr>
        <w:t>好</w:t>
      </w:r>
      <w:r w:rsidR="00454FF7" w:rsidRPr="00262DD7">
        <w:rPr>
          <w:rFonts w:ascii="彩虹粗仿宋" w:eastAsia="彩虹粗仿宋" w:cs="宋体" w:hint="eastAsia"/>
          <w:kern w:val="0"/>
          <w:sz w:val="32"/>
          <w:szCs w:val="32"/>
        </w:rPr>
        <w:t>。</w:t>
      </w:r>
      <w:r w:rsidR="00983E3F" w:rsidRPr="00983E3F">
        <w:rPr>
          <w:rFonts w:ascii="彩虹粗仿宋" w:eastAsia="彩虹粗仿宋" w:cs="宋体" w:hint="eastAsia"/>
          <w:kern w:val="0"/>
          <w:sz w:val="32"/>
          <w:szCs w:val="32"/>
        </w:rPr>
        <w:t>实现净利润2,692.22亿元，较上年增长5.32%</w:t>
      </w:r>
      <w:r w:rsidR="00983E3F" w:rsidRPr="009F73BF">
        <w:rPr>
          <w:rFonts w:ascii="彩虹粗仿宋" w:eastAsia="彩虹粗仿宋" w:cs="宋体" w:hint="eastAsia"/>
          <w:kern w:val="0"/>
          <w:sz w:val="32"/>
          <w:szCs w:val="32"/>
        </w:rPr>
        <w:t>，同比提升0.39个百分点</w:t>
      </w:r>
      <w:r w:rsidR="00983E3F" w:rsidRPr="00983E3F">
        <w:rPr>
          <w:rFonts w:ascii="彩虹粗仿宋" w:eastAsia="彩虹粗仿宋" w:cs="宋体" w:hint="eastAsia"/>
          <w:kern w:val="0"/>
          <w:sz w:val="32"/>
          <w:szCs w:val="32"/>
        </w:rPr>
        <w:t>。利息净收入增长5.02%，</w:t>
      </w:r>
      <w:r w:rsidR="009F73BF">
        <w:rPr>
          <w:rFonts w:ascii="彩虹粗仿宋" w:eastAsia="彩虹粗仿宋" w:cs="宋体" w:hint="eastAsia"/>
          <w:kern w:val="0"/>
          <w:sz w:val="32"/>
          <w:szCs w:val="32"/>
        </w:rPr>
        <w:t>净利息</w:t>
      </w:r>
      <w:r w:rsidR="00983E3F" w:rsidRPr="00983E3F">
        <w:rPr>
          <w:rFonts w:ascii="彩虹粗仿宋" w:eastAsia="彩虹粗仿宋" w:cs="宋体" w:hint="eastAsia"/>
          <w:kern w:val="0"/>
          <w:sz w:val="32"/>
          <w:szCs w:val="32"/>
        </w:rPr>
        <w:t>收益率为2.26%；手续费及佣金净收入增长11.58%。平均资产回报率1.11%，加权平均净资产收益率13.18%，资本充足率17.52%，保持同业领先水平。</w:t>
      </w:r>
    </w:p>
    <w:p w14:paraId="1FD51B5F" w14:textId="77777777" w:rsidR="0056633B" w:rsidRPr="002409B3" w:rsidRDefault="00983E3F" w:rsidP="00425B28">
      <w:pPr>
        <w:widowControl/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  <w:lang w:val="en-GB"/>
        </w:rPr>
      </w:pPr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2</w:t>
      </w:r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019</w:t>
      </w:r>
      <w:r w:rsidR="0056633B"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年，建设银行</w:t>
      </w:r>
      <w:r w:rsidR="008130DC"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秉持大行使命情怀和责任担当，</w:t>
      </w:r>
      <w:r w:rsidRPr="00094457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不断创新，大力推进战略实施，带动全行业</w:t>
      </w:r>
      <w:proofErr w:type="gramStart"/>
      <w:r w:rsidRPr="00094457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务</w:t>
      </w:r>
      <w:proofErr w:type="gramEnd"/>
      <w:r w:rsidRPr="00094457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发展和经营绩效提升，</w:t>
      </w:r>
      <w:proofErr w:type="gramStart"/>
      <w:r w:rsidRPr="00094457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主动识变应变</w:t>
      </w:r>
      <w:proofErr w:type="gramEnd"/>
      <w:r w:rsidRPr="00094457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求变，</w:t>
      </w:r>
      <w:r w:rsidR="008B2A7F" w:rsidRPr="00094457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以</w:t>
      </w:r>
      <w:r w:rsidRPr="00094457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服务国家建设能力、防范金融风险能力、参与国际竞争能力“三个能力”为遵循，以住房租赁、普惠金融和金融科技“三大战略”为突破，从G端、B端、C</w:t>
      </w:r>
      <w:r w:rsidRPr="005B163E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端发力，开启“第二发展曲线”，围绕人民对美好生活的向往与需求，以新金融行动积极服务经济社会的发展需要，推动金融供给侧结构性改革，驱动</w:t>
      </w:r>
      <w:r w:rsidR="00B4417D"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经济</w:t>
      </w:r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高质量增长，</w:t>
      </w:r>
      <w:r w:rsidR="008130DC"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推动全行业</w:t>
      </w:r>
      <w:proofErr w:type="gramStart"/>
      <w:r w:rsidR="008130DC"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务</w:t>
      </w:r>
      <w:proofErr w:type="gramEnd"/>
      <w:r w:rsidR="008130DC"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高质量发展，获得良好经济效益和社会效益。</w:t>
      </w:r>
    </w:p>
    <w:p w14:paraId="4D87D0BF" w14:textId="0135E2A7" w:rsidR="00B45188" w:rsidRPr="002409B3" w:rsidRDefault="00B45188" w:rsidP="00B45188">
      <w:pPr>
        <w:widowControl/>
        <w:spacing w:line="560" w:lineRule="exact"/>
        <w:ind w:firstLineChars="200" w:firstLine="643"/>
        <w:jc w:val="center"/>
        <w:rPr>
          <w:rFonts w:ascii="彩虹粗仿宋" w:eastAsia="彩虹粗仿宋" w:cs="宋体"/>
          <w:b/>
          <w:kern w:val="0"/>
          <w:sz w:val="32"/>
          <w:szCs w:val="32"/>
          <w:lang w:val="en-GB"/>
        </w:rPr>
      </w:pPr>
      <w:r w:rsidRPr="002409B3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服务实体经济</w:t>
      </w:r>
      <w:r w:rsidRPr="002409B3">
        <w:rPr>
          <w:rFonts w:ascii="宋体" w:eastAsia="宋体" w:hAnsi="宋体" w:cs="宋体"/>
          <w:b/>
          <w:kern w:val="0"/>
          <w:sz w:val="32"/>
          <w:szCs w:val="32"/>
          <w:lang w:val="en-GB"/>
        </w:rPr>
        <w:t xml:space="preserve">  </w:t>
      </w:r>
      <w:r w:rsidRPr="002409B3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增强“三个能力”</w:t>
      </w:r>
    </w:p>
    <w:p w14:paraId="6E6002EE" w14:textId="77ECFC95" w:rsidR="00B45188" w:rsidRPr="002409B3" w:rsidRDefault="007306C2" w:rsidP="007306C2">
      <w:pPr>
        <w:widowControl/>
        <w:spacing w:line="560" w:lineRule="exact"/>
        <w:ind w:firstLineChars="200" w:firstLine="643"/>
        <w:rPr>
          <w:rFonts w:ascii="彩虹粗仿宋" w:eastAsia="彩虹粗仿宋" w:cs="宋体"/>
          <w:kern w:val="0"/>
          <w:sz w:val="32"/>
          <w:szCs w:val="32"/>
          <w:lang w:val="en-GB"/>
        </w:rPr>
      </w:pPr>
      <w:r w:rsidRPr="002409B3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服务国家建设能力明显增强。</w:t>
      </w:r>
      <w:r w:rsidR="00B45188"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紧跟国家重大战略项目，主动服务京津冀、粤港澳大湾区、长三角区域发展。加快金融供给存量重组、增量优化和动能转换，在巩固基础设施领域中长期信贷等传统优势的基础上，</w:t>
      </w:r>
      <w:r w:rsidR="009F56A9"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精准投放信贷资源，</w:t>
      </w:r>
      <w:r w:rsidR="00B45188"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加大先进制造业、绿色金融、科技创新、民生服务等重点领域信贷支持力度。充分发挥集团优势，通过市场化债转股、信托、债券、租赁、资产管理等多渠道释放信用支持。服务交通运输网络效率提升，ETC业务跨越式发展领先市场。</w:t>
      </w:r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2019年末，基础设施行业领域贷款余额3.68</w:t>
      </w:r>
      <w:proofErr w:type="gramStart"/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万亿</w:t>
      </w:r>
      <w:proofErr w:type="gramEnd"/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元，增幅6.49%；</w:t>
      </w:r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lastRenderedPageBreak/>
        <w:t>战略性新兴产业贷款余额5,335.51亿元，增幅38.</w:t>
      </w:r>
      <w:r w:rsidR="001B10E1" w:rsidRPr="002409B3">
        <w:rPr>
          <w:rFonts w:ascii="彩虹粗仿宋" w:eastAsia="彩虹粗仿宋" w:cs="宋体"/>
          <w:kern w:val="0"/>
          <w:sz w:val="32"/>
          <w:szCs w:val="32"/>
          <w:lang w:val="en-GB"/>
        </w:rPr>
        <w:t>38</w:t>
      </w:r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%；民营企业贷款余额2.66</w:t>
      </w:r>
      <w:proofErr w:type="gramStart"/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万亿</w:t>
      </w:r>
      <w:proofErr w:type="gramEnd"/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元，增幅14.21%；地方政府债新增超4,000亿元，有力支持国家建设和实体经济发展。债转股新增落地1,594亿元，位居同类机构第一。</w:t>
      </w:r>
    </w:p>
    <w:p w14:paraId="745D529A" w14:textId="77777777" w:rsidR="000D5044" w:rsidRPr="002409B3" w:rsidRDefault="000D5044" w:rsidP="000D5044">
      <w:pPr>
        <w:widowControl/>
        <w:spacing w:line="560" w:lineRule="exact"/>
        <w:ind w:firstLineChars="200" w:firstLine="643"/>
        <w:rPr>
          <w:rFonts w:ascii="彩虹粗仿宋" w:eastAsia="彩虹粗仿宋" w:cs="宋体"/>
          <w:kern w:val="0"/>
          <w:sz w:val="32"/>
          <w:szCs w:val="32"/>
          <w:lang w:val="en-GB"/>
        </w:rPr>
      </w:pPr>
      <w:r w:rsidRPr="002409B3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防范金融风险能力明显增强。</w:t>
      </w:r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持续完善</w:t>
      </w:r>
      <w:proofErr w:type="gramStart"/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全面主动</w:t>
      </w:r>
      <w:proofErr w:type="gramEnd"/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智能的风险管理体系，推进风险管理系统建设优化，强化数字化、智能化、集约化风险管控，进一步强化信用风险管理，资产质量稳中向好，风险抵补能力逐步提升。夯实流动性管理基础，发挥好大行市场</w:t>
      </w:r>
      <w:r w:rsidRPr="002409B3">
        <w:rPr>
          <w:rFonts w:ascii="彩虹粗仿宋" w:eastAsia="彩虹粗仿宋" w:cs="宋体"/>
          <w:kern w:val="0"/>
          <w:sz w:val="32"/>
          <w:szCs w:val="32"/>
          <w:lang w:val="en-GB"/>
        </w:rPr>
        <w:t xml:space="preserve"> </w:t>
      </w:r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“稳定器”作用，助力金融市场平稳运行。加强IT风险、合</w:t>
      </w:r>
      <w:proofErr w:type="gramStart"/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规</w:t>
      </w:r>
      <w:proofErr w:type="gramEnd"/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风险、操作风险、国别风险等全方位、全流程风险管理，并推动先进风险管理技术和工具的开放共享，打造风险共治的新生态。持续培育“稳健、审慎、全面、主动”的风险文化。强化对重点领域、新兴业务实质性风险把控，发挥综合授信对资源配置和结构调整的平台作用。构建</w:t>
      </w:r>
      <w:proofErr w:type="gramStart"/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智能风控系统</w:t>
      </w:r>
      <w:proofErr w:type="gramEnd"/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，加速从“人控”向“机控+智控”转变。加大计量工具对客户选择、管理决策和风险管控的支持力度，研发应用线上业务风险排查系统。资产保全经营处置“量、质、效”协同提升。2019</w:t>
      </w:r>
      <w:r w:rsidR="009F56A9"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年末，</w:t>
      </w:r>
      <w:r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集团不良贷款率1.42%，较上年下降0.04个百分点；拨备覆盖率227.69%，较上年提升19.32个百分点。</w:t>
      </w:r>
    </w:p>
    <w:p w14:paraId="3B36DEBF" w14:textId="2AEB1480" w:rsidR="00B45188" w:rsidRPr="00B45188" w:rsidRDefault="000D5044" w:rsidP="000D5044">
      <w:pPr>
        <w:widowControl/>
        <w:spacing w:line="560" w:lineRule="exact"/>
        <w:ind w:firstLineChars="200" w:firstLine="643"/>
        <w:rPr>
          <w:rFonts w:ascii="彩虹粗仿宋" w:eastAsia="彩虹粗仿宋" w:cs="宋体"/>
          <w:kern w:val="0"/>
          <w:sz w:val="32"/>
          <w:szCs w:val="32"/>
          <w:lang w:val="en-GB"/>
        </w:rPr>
      </w:pPr>
      <w:r w:rsidRPr="002409B3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参与国际竞争能力明显增强。</w:t>
      </w:r>
      <w:r w:rsidR="00B45188" w:rsidRPr="002409B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海外布局进一步完善，哈萨克斯坦阿斯塔纳分行和马来西亚纳闽分行</w:t>
      </w:r>
      <w:r w:rsidR="00B45188"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顺利开业，海外机构覆盖全球30</w:t>
      </w:r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个国家和地区，英国、瑞士、智利人民币清算</w:t>
      </w:r>
      <w:proofErr w:type="gramStart"/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行运行</w:t>
      </w:r>
      <w:proofErr w:type="gramEnd"/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稳定，“一行一策”推动海外业务依法合</w:t>
      </w:r>
      <w:proofErr w:type="gramStart"/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规</w:t>
      </w:r>
      <w:proofErr w:type="gramEnd"/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稳健</w:t>
      </w:r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lastRenderedPageBreak/>
        <w:t>发展。</w:t>
      </w:r>
      <w:r w:rsidR="009F56A9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加大</w:t>
      </w:r>
      <w:r w:rsidR="009F56A9"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支持“一带一路”建设，累计为沿线国家的150多个重大项目提供金融支持。</w:t>
      </w:r>
      <w:r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深化粤港澳大湾区跨境金融合作，自贸区业务保持同业领先。</w:t>
      </w:r>
      <w:r w:rsidR="009F56A9"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服务境内客户“走出去”及境外客户“引进来”667万人，创历史新高。</w:t>
      </w:r>
      <w:r w:rsidR="00B45188"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加大跨境金融服务创新，依托区块链、大数据等前沿科技，首批实现与</w:t>
      </w:r>
      <w:r w:rsidR="00505633" w:rsidRPr="0050563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中国国际贸易单一窗口</w:t>
      </w:r>
      <w:r w:rsidR="00B45188"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直联，</w:t>
      </w:r>
      <w:r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上线金融服务功能10余项，保持同业领先优势；“跨境e+”综合金融服务平台签约客户15万户，较上年增长173.60%；同业首创小</w:t>
      </w:r>
      <w:proofErr w:type="gramStart"/>
      <w:r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微企业</w:t>
      </w:r>
      <w:proofErr w:type="gramEnd"/>
      <w:r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全线上融资“跨境快贷”系列产品，累计投放近40亿元。在区块链贸易金融平台部署国内信用证、福费廷、国际保理、再保理等，累计交易金额超过4,000亿元。</w:t>
      </w:r>
      <w:r w:rsidRPr="00B45188">
        <w:rPr>
          <w:rFonts w:ascii="彩虹粗仿宋" w:eastAsia="彩虹粗仿宋" w:cs="宋体"/>
          <w:kern w:val="0"/>
          <w:sz w:val="32"/>
          <w:szCs w:val="32"/>
          <w:lang w:val="en-GB"/>
        </w:rPr>
        <w:t xml:space="preserve"> </w:t>
      </w:r>
    </w:p>
    <w:p w14:paraId="430C2884" w14:textId="77777777" w:rsidR="00B45188" w:rsidRPr="00B45188" w:rsidRDefault="00B45188" w:rsidP="00B45188">
      <w:pPr>
        <w:widowControl/>
        <w:spacing w:line="560" w:lineRule="exact"/>
        <w:ind w:firstLineChars="200" w:firstLine="643"/>
        <w:jc w:val="center"/>
        <w:rPr>
          <w:rFonts w:ascii="彩虹粗仿宋" w:eastAsia="彩虹粗仿宋" w:cs="宋体"/>
          <w:b/>
          <w:kern w:val="0"/>
          <w:sz w:val="32"/>
          <w:szCs w:val="32"/>
          <w:lang w:val="en-GB"/>
        </w:rPr>
      </w:pPr>
      <w:r w:rsidRPr="002409B3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助力社会发展</w:t>
      </w:r>
      <w:r w:rsidRPr="002409B3">
        <w:rPr>
          <w:rFonts w:ascii="宋体" w:eastAsia="宋体" w:hAnsi="宋体" w:cs="宋体"/>
          <w:b/>
          <w:kern w:val="0"/>
          <w:sz w:val="32"/>
          <w:szCs w:val="32"/>
          <w:lang w:val="en-GB"/>
        </w:rPr>
        <w:t xml:space="preserve">  </w:t>
      </w:r>
      <w:r w:rsidRPr="002409B3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推进“三大战略”</w:t>
      </w:r>
    </w:p>
    <w:p w14:paraId="447B35B5" w14:textId="77777777" w:rsidR="00B45188" w:rsidRPr="00B45188" w:rsidRDefault="00B45188" w:rsidP="000D5044">
      <w:pPr>
        <w:widowControl/>
        <w:spacing w:line="560" w:lineRule="exact"/>
        <w:ind w:firstLineChars="200" w:firstLine="643"/>
        <w:rPr>
          <w:rFonts w:ascii="彩虹粗仿宋" w:eastAsia="彩虹粗仿宋" w:cs="宋体"/>
          <w:kern w:val="0"/>
          <w:sz w:val="32"/>
          <w:szCs w:val="32"/>
          <w:lang w:val="en-GB"/>
        </w:rPr>
      </w:pPr>
      <w:r w:rsidRPr="00B45188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住房租赁“圈链效应”不断放大。</w:t>
      </w:r>
      <w:r w:rsidR="009F56A9"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组建住房租赁产业联盟，以批量化配置和专业化服务，为百姓提供更好的租住体验，建立开放共享高效的住房租赁新生态。</w:t>
      </w:r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住房租赁平台逐步连片成网，累计上线房源超过2,000万套。“数字房产”系统</w:t>
      </w:r>
      <w:proofErr w:type="gramStart"/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助力住建领域</w:t>
      </w:r>
      <w:proofErr w:type="gramEnd"/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治理能力提升，已推广至全国40多个城市。“存房”业务加快盘活存量闲置房源，累计签约超过80万套。</w:t>
      </w:r>
      <w:proofErr w:type="gramStart"/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建融长租</w:t>
      </w:r>
      <w:proofErr w:type="gramEnd"/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公寓、城中村新居等新供给帮助更多百姓实现了安居梦。</w:t>
      </w:r>
    </w:p>
    <w:p w14:paraId="45C82DDB" w14:textId="600D5C43" w:rsidR="000D5044" w:rsidRPr="00B45188" w:rsidRDefault="00B45188" w:rsidP="00D444B0">
      <w:pPr>
        <w:widowControl/>
        <w:spacing w:line="560" w:lineRule="exact"/>
        <w:ind w:firstLineChars="200" w:firstLine="643"/>
        <w:rPr>
          <w:rFonts w:ascii="彩虹粗仿宋" w:eastAsia="彩虹粗仿宋" w:cs="宋体"/>
          <w:kern w:val="0"/>
          <w:sz w:val="32"/>
          <w:szCs w:val="32"/>
          <w:lang w:val="en-GB"/>
        </w:rPr>
      </w:pPr>
      <w:r w:rsidRPr="00B45188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普惠金融在高平台上全面推进。</w:t>
      </w:r>
      <w:r w:rsidR="000D5044"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坚持平台化经营，不断探索智能化、生态化的普惠金融新模式，全面提高普惠金融服务覆盖率、可得性和满意度。</w:t>
      </w:r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围绕“数字、平台、生态、赋能”的发展理念，推进“惠懂你”“惠助你”“惠点通”</w:t>
      </w:r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lastRenderedPageBreak/>
        <w:t>和普惠金融运营管理平台“三惠合一”。</w:t>
      </w:r>
      <w:proofErr w:type="gramStart"/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运用区</w:t>
      </w:r>
      <w:proofErr w:type="gramEnd"/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块链、大数据技术创新推出“民工惠”平台，累计服务客户400余万名。</w:t>
      </w:r>
      <w:r w:rsidR="000D5044"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2019</w:t>
      </w:r>
      <w:r w:rsidR="00D444B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年末，</w:t>
      </w:r>
      <w:r w:rsidR="000D5044"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普惠金融贷款余额9,631.55亿元，较上年增加3,530.81亿元，普惠金融贷款客户近133万户，较上年新增近31万户。以“小微快贷”为代表的新模式产品累计投放贷款超过1.7</w:t>
      </w:r>
      <w:proofErr w:type="gramStart"/>
      <w:r w:rsidR="000D5044"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万亿</w:t>
      </w:r>
      <w:proofErr w:type="gramEnd"/>
      <w:r w:rsidR="000D5044"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元，惠及小</w:t>
      </w:r>
      <w:proofErr w:type="gramStart"/>
      <w:r w:rsidR="000D5044"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微企业</w:t>
      </w:r>
      <w:proofErr w:type="gramEnd"/>
      <w:r w:rsidR="000D5044" w:rsidRPr="000D504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近103万户。创新打造“建行裕农通”乡村振兴综合服务平台，推动普惠金融服务重心下沉乡村。</w:t>
      </w:r>
    </w:p>
    <w:p w14:paraId="2B9400E1" w14:textId="11338092" w:rsidR="00D444B0" w:rsidRPr="00B45188" w:rsidRDefault="00B45188" w:rsidP="00D444B0">
      <w:pPr>
        <w:widowControl/>
        <w:spacing w:line="560" w:lineRule="exact"/>
        <w:ind w:firstLineChars="200" w:firstLine="643"/>
        <w:rPr>
          <w:rFonts w:ascii="彩虹粗仿宋" w:eastAsia="彩虹粗仿宋" w:cs="宋体"/>
          <w:kern w:val="0"/>
          <w:sz w:val="32"/>
          <w:szCs w:val="32"/>
          <w:lang w:val="en-GB"/>
        </w:rPr>
      </w:pPr>
      <w:r w:rsidRPr="00B45188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金融科技效能进一步释放。</w:t>
      </w:r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夯实金融科技基础，积极推进人工智能、区块链、物联网等金融科技基础平台建设。对内打造协同进化型智慧金融，促进数字化经营管理能</w:t>
      </w:r>
      <w:r w:rsidR="00D444B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力提升。依托新一代核心系统技术聚合优势，构建企业级客户统一视图</w:t>
      </w:r>
      <w:r w:rsidR="00D444B0" w:rsidRPr="00D444B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，加快构造“多触点、一体化”的智慧渠道，推出“5G</w:t>
      </w:r>
      <w:r w:rsidR="00D444B0" w:rsidRPr="00120E6C">
        <w:rPr>
          <w:rFonts w:ascii="彩虹粗仿宋" w:eastAsia="彩虹粗仿宋" w:cs="宋体"/>
          <w:kern w:val="0"/>
          <w:sz w:val="32"/>
          <w:szCs w:val="32"/>
          <w:vertAlign w:val="superscript"/>
          <w:lang w:val="en-GB"/>
        </w:rPr>
        <w:t>+</w:t>
      </w:r>
      <w:r w:rsidR="00D444B0" w:rsidRPr="00D444B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智能银行”。</w:t>
      </w:r>
      <w:r w:rsidR="00F76A24" w:rsidRPr="00F76A24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推进新一代核心系统应用，完成系统在29家海外机构的推广</w:t>
      </w:r>
      <w:r w:rsidR="00D444B0" w:rsidRPr="00D444B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，提升集团机构、客户、产品、服务和渠道共享能力。构建以开放共享、价值共赢、数字互联、以客户为中心为核心要义的新零售，打造“交易性与新兴业务无缝融合”的新对公服务，建设“智能、高效、强风控”的普惠金融。引入工商、税务、社保、司法涉诉等外部数据</w:t>
      </w:r>
      <w:r w:rsidR="00D444B0" w:rsidRPr="00D444B0">
        <w:rPr>
          <w:rFonts w:ascii="彩虹粗仿宋" w:eastAsia="彩虹粗仿宋" w:cs="宋体"/>
          <w:kern w:val="0"/>
          <w:sz w:val="32"/>
          <w:szCs w:val="32"/>
          <w:lang w:val="en-GB"/>
        </w:rPr>
        <w:t>131</w:t>
      </w:r>
      <w:r w:rsidR="00D444B0" w:rsidRPr="00D444B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项，嵌入风险防控、信用卡管理等</w:t>
      </w:r>
      <w:r w:rsidR="00D444B0" w:rsidRPr="00D444B0">
        <w:rPr>
          <w:rFonts w:ascii="彩虹粗仿宋" w:eastAsia="彩虹粗仿宋" w:cs="宋体"/>
          <w:kern w:val="0"/>
          <w:sz w:val="32"/>
          <w:szCs w:val="32"/>
          <w:lang w:val="en-GB"/>
        </w:rPr>
        <w:t>40</w:t>
      </w:r>
      <w:r w:rsidR="00D444B0" w:rsidRPr="00D444B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多个业务场景，持续深化数据应用。</w:t>
      </w:r>
      <w:r w:rsidR="00D444B0"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对外构建G、B、C端伙伴式新生态，以开放共享的理念对外赋能。打造智慧政务服务平台，建立APP、PC端、网点STM、“建行裕农通”、政务大厅“五位一体”服务模式。</w:t>
      </w:r>
    </w:p>
    <w:p w14:paraId="67F274CD" w14:textId="77777777" w:rsidR="00B45188" w:rsidRPr="00B45188" w:rsidRDefault="00B45188" w:rsidP="00B45188">
      <w:pPr>
        <w:widowControl/>
        <w:spacing w:line="560" w:lineRule="exact"/>
        <w:ind w:firstLineChars="200" w:firstLine="643"/>
        <w:jc w:val="center"/>
        <w:rPr>
          <w:rFonts w:ascii="彩虹粗仿宋" w:eastAsia="彩虹粗仿宋" w:cs="宋体"/>
          <w:b/>
          <w:kern w:val="0"/>
          <w:sz w:val="32"/>
          <w:szCs w:val="32"/>
          <w:lang w:val="en-GB"/>
        </w:rPr>
      </w:pPr>
      <w:r w:rsidRPr="00B45188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lastRenderedPageBreak/>
        <w:t>聚焦民生</w:t>
      </w:r>
      <w:r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痛点</w:t>
      </w:r>
      <w:r>
        <w:rPr>
          <w:rFonts w:ascii="宋体" w:eastAsia="宋体" w:hAnsi="宋体" w:cs="宋体" w:hint="eastAsia"/>
          <w:b/>
          <w:kern w:val="0"/>
          <w:sz w:val="32"/>
          <w:szCs w:val="32"/>
          <w:lang w:val="en-GB"/>
        </w:rPr>
        <w:t xml:space="preserve"> </w:t>
      </w:r>
      <w:proofErr w:type="gramStart"/>
      <w:r w:rsidRPr="00B45188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践行</w:t>
      </w:r>
      <w:proofErr w:type="gramEnd"/>
      <w:r w:rsidRPr="00B45188">
        <w:rPr>
          <w:rFonts w:ascii="彩虹粗仿宋" w:eastAsia="彩虹粗仿宋" w:cs="宋体" w:hint="eastAsia"/>
          <w:b/>
          <w:kern w:val="0"/>
          <w:sz w:val="32"/>
          <w:szCs w:val="32"/>
          <w:lang w:val="en-GB"/>
        </w:rPr>
        <w:t>责任担当</w:t>
      </w:r>
    </w:p>
    <w:p w14:paraId="5B77DE19" w14:textId="205B54D5" w:rsidR="00D444B0" w:rsidRDefault="00B45188" w:rsidP="00B45188">
      <w:pPr>
        <w:widowControl/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  <w:lang w:val="en-GB"/>
        </w:rPr>
      </w:pPr>
      <w:r w:rsidRPr="002A548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精准助力脱贫攻坚，实施“跨越2020”金融精准扶贫行动方案，持续加大精准扶贫贷款等支持力度，</w:t>
      </w:r>
      <w:r w:rsidR="004A7596" w:rsidRPr="004A7596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主动做好金融精准扶贫与乡村振兴的有效衔接，探索推广产业扶贫、消费扶贫、教育扶贫等内生式、可持续性模式</w:t>
      </w:r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。</w:t>
      </w:r>
      <w:r w:rsidR="00D444B0" w:rsidRPr="00D444B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2019年末，精准扶贫贷款余额2,195.07亿元，较上年增加287.46亿元。</w:t>
      </w:r>
    </w:p>
    <w:p w14:paraId="20904811" w14:textId="65375F8E" w:rsidR="00B45188" w:rsidRDefault="00B45188" w:rsidP="00B45188">
      <w:pPr>
        <w:widowControl/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  <w:lang w:val="en-GB"/>
        </w:rPr>
      </w:pPr>
      <w:r w:rsidRPr="00B4518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温情打造“劳动者港湾”，服务网点数量达1.43万个，累计服务1亿人次，引起社会同频共振，成为首家全国总工会“户外劳动者服务站点”共建品牌。开放共建建行大学，搭建“产教融合、校企合作”平台，打造新金融人才产教融合联盟。“金智惠民”累计对外培训135万人次，传播金融知识，共享金融能力。组织开展“万名学子暑期下乡实践”活动，帮助高校学生了解乡村、感知金融、锻炼自我。</w:t>
      </w:r>
    </w:p>
    <w:p w14:paraId="5A2965A1" w14:textId="6A1A9663" w:rsidR="00C234BD" w:rsidRDefault="00C234BD" w:rsidP="00C234BD">
      <w:pPr>
        <w:widowControl/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  <w:lang w:val="en-GB"/>
        </w:rPr>
      </w:pPr>
      <w:r w:rsidRPr="00C234BD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通过“带上员工做公益、带着客户做公益、带动机构做公益、融合业务做公益”，帮助更多需要帮助的人，为社会注入新的正能量。2019年，公益捐赠总额1.34</w:t>
      </w:r>
      <w:r w:rsidR="006813A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亿元；</w:t>
      </w:r>
      <w:r w:rsidRPr="00C234BD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其中，定点扶贫捐赠1.08亿元。着重实施了建行希望小学、高中生成长计划、母亲健康快车等长期公益项目。</w:t>
      </w:r>
    </w:p>
    <w:p w14:paraId="012CA6D6" w14:textId="1859A8D9" w:rsidR="00C234BD" w:rsidRPr="00B45188" w:rsidRDefault="00C234BD" w:rsidP="00C234BD">
      <w:pPr>
        <w:widowControl/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  <w:lang w:val="en-GB"/>
        </w:rPr>
      </w:pPr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2019</w:t>
      </w:r>
      <w:r w:rsidRPr="00C234BD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年，建设银行综合实力、经营能力和服务水平持续</w:t>
      </w:r>
      <w:r w:rsidR="00614246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得</w:t>
      </w:r>
      <w:r w:rsidRPr="00C234BD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到客户和市场广泛认可，在国内同业中独家获得</w:t>
      </w:r>
      <w:r w:rsidR="009F56A9" w:rsidRPr="00C234BD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《财资》2019年度</w:t>
      </w:r>
      <w:r w:rsidR="009F56A9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中国最佳银行、</w:t>
      </w:r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《亚洲银行家》</w:t>
      </w:r>
      <w:r w:rsidRPr="00C234BD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2019</w:t>
      </w:r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年中国最佳贸易融资银行</w:t>
      </w:r>
      <w:r w:rsidRPr="00C234BD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等国内外大奖；在英国《银行家》发布的2019年“世界银行1000强”排名中连续第6年位列第2位，</w:t>
      </w:r>
      <w:r w:rsidR="00BD4511" w:rsidRPr="00C234BD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在美国《财富》杂志2019年世界500强排行榜中名列第31位</w:t>
      </w:r>
      <w:r w:rsidR="00BD4511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；</w:t>
      </w:r>
      <w:r w:rsidR="00BD4511" w:rsidRPr="00BD4511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lastRenderedPageBreak/>
        <w:t>在</w:t>
      </w:r>
      <w:r w:rsidR="00BD4511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2019年</w:t>
      </w:r>
      <w:proofErr w:type="spellStart"/>
      <w:r w:rsidR="00BD4511" w:rsidRPr="00BD4511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Interbrand</w:t>
      </w:r>
      <w:proofErr w:type="spellEnd"/>
      <w:r w:rsidR="00BD4511" w:rsidRPr="00BD4511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和</w:t>
      </w:r>
      <w:proofErr w:type="spellStart"/>
      <w:r w:rsidR="00BD4511" w:rsidRPr="00BD4511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BrandZ</w:t>
      </w:r>
      <w:proofErr w:type="spellEnd"/>
      <w:r w:rsidR="00BD4511" w:rsidRPr="00BD4511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的品牌价值排行榜中，上升至第3位和第9位，品牌价值分别增长4%和14%，大行影响力进一步提升。</w:t>
      </w:r>
    </w:p>
    <w:p w14:paraId="29090EF3" w14:textId="77777777" w:rsidR="00B45188" w:rsidRPr="00BE16E8" w:rsidRDefault="008709CA" w:rsidP="00BE16E8">
      <w:pPr>
        <w:widowControl/>
        <w:spacing w:line="560" w:lineRule="exact"/>
        <w:jc w:val="center"/>
        <w:rPr>
          <w:rFonts w:ascii="彩虹粗仿宋" w:eastAsia="彩虹粗仿宋" w:hAnsi="宋体" w:cs="宋体"/>
          <w:b/>
          <w:kern w:val="0"/>
          <w:sz w:val="32"/>
          <w:szCs w:val="32"/>
          <w:lang w:val="en-GB"/>
        </w:rPr>
      </w:pPr>
      <w:r w:rsidRPr="00BE16E8">
        <w:rPr>
          <w:rFonts w:ascii="彩虹粗仿宋" w:eastAsia="彩虹粗仿宋" w:hAnsi="宋体" w:cs="宋体" w:hint="eastAsia"/>
          <w:b/>
          <w:kern w:val="0"/>
          <w:sz w:val="32"/>
          <w:szCs w:val="32"/>
          <w:lang w:val="en-GB"/>
        </w:rPr>
        <w:t>助力疫情防控 支持</w:t>
      </w:r>
      <w:r w:rsidR="00581AC0">
        <w:rPr>
          <w:rFonts w:ascii="彩虹粗仿宋" w:eastAsia="彩虹粗仿宋" w:hAnsi="宋体" w:cs="宋体" w:hint="eastAsia"/>
          <w:b/>
          <w:kern w:val="0"/>
          <w:sz w:val="32"/>
          <w:szCs w:val="32"/>
          <w:lang w:val="en-GB"/>
        </w:rPr>
        <w:t>实体经济</w:t>
      </w:r>
    </w:p>
    <w:p w14:paraId="4022108E" w14:textId="77777777" w:rsidR="001E706C" w:rsidRDefault="00B45188" w:rsidP="001E706C">
      <w:pPr>
        <w:widowControl/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  <w:lang w:val="en-GB"/>
        </w:rPr>
      </w:pPr>
      <w:r w:rsidRP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进入2020</w:t>
      </w:r>
      <w:r w:rsidR="009F56A9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年，</w:t>
      </w:r>
      <w:r w:rsidR="002A5483" w:rsidRPr="002A548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一场</w:t>
      </w:r>
      <w:r w:rsidRP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突如其来的新冠肺炎疫情给经济社会带来前所未有的挑战。</w:t>
      </w:r>
      <w:r w:rsid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建设银行认真贯彻落</w:t>
      </w:r>
      <w:proofErr w:type="gramStart"/>
      <w:r w:rsid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实</w:t>
      </w:r>
      <w:r w:rsidR="009F56A9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习近</w:t>
      </w:r>
      <w:proofErr w:type="gramEnd"/>
      <w:r w:rsidR="009F56A9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平总书记</w:t>
      </w:r>
      <w:r w:rsid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的指示批示精神，按照</w:t>
      </w:r>
      <w:r w:rsidR="00BD4511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党</w:t>
      </w:r>
      <w:r w:rsid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中央</w:t>
      </w:r>
      <w:r w:rsidR="00BD4511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、国务院决策</w:t>
      </w:r>
      <w:r w:rsid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部署，</w:t>
      </w:r>
      <w:r w:rsidR="0073288E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主动担当，迅速行动，</w:t>
      </w:r>
      <w:r w:rsidR="006F7313" w:rsidRPr="006F731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在疫情出现后第一时间推出金融服务“十项举措”及网点防疫和员工关爱“二十条细则”；建立贷款审批“绿色通道”，推出支持小</w:t>
      </w:r>
      <w:proofErr w:type="gramStart"/>
      <w:r w:rsidR="006F7313" w:rsidRPr="006F731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微企业</w:t>
      </w:r>
      <w:proofErr w:type="gramEnd"/>
      <w:r w:rsidR="006F7313" w:rsidRPr="006F731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“八项举措”，两个月来累计为疫情防控相关企业发放贷款900 多亿元；为湖北等疫区捐款捐物累计2.98 亿元，免费为抗</w:t>
      </w:r>
      <w:proofErr w:type="gramStart"/>
      <w:r w:rsidR="006F7313" w:rsidRPr="006F731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疫</w:t>
      </w:r>
      <w:proofErr w:type="gramEnd"/>
      <w:r w:rsidR="006F7313" w:rsidRPr="006F7313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医护人员提供保险保障；发起设立50 亿元抗击疫情稳定发展基金；全面推广“智慧社区管理平台”助力疫情防控管理，多渠道部署防疫培训、疫情查询、在线问诊等防疫功能；通过网络为客户提供各种金融产品和服务，并联合有关电商平台，拓展“网上菜篮子”，为百姓提供居家购买蔬菜食品服务。通过数字化经营动能的释放，以线上线下多渠道全方位的支持和服务，与全国人民守望相助、共克时艰，共同迎接胜利的曙光。</w:t>
      </w:r>
    </w:p>
    <w:p w14:paraId="62E71287" w14:textId="5800FB3C" w:rsidR="00BE16DD" w:rsidRPr="001E706C" w:rsidRDefault="00795543" w:rsidP="001E706C">
      <w:pPr>
        <w:widowControl/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  <w:lang w:val="en-GB"/>
        </w:rPr>
      </w:pPr>
      <w:r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疫情发生</w:t>
      </w:r>
      <w:r w:rsid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以来，</w:t>
      </w:r>
      <w:r w:rsidR="00C56339" w:rsidRP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建设银行发挥海外机构全球布局优势</w:t>
      </w:r>
      <w:r w:rsidR="00AD51CF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，</w:t>
      </w:r>
      <w:r w:rsid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动员</w:t>
      </w:r>
      <w:r w:rsidR="00C56339" w:rsidRP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境内外机构携手联动，将近1700</w:t>
      </w:r>
      <w:r w:rsid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万件抗疫物资运回国内，缓解了当时一线防疫物资供应不足的燃眉之急</w:t>
      </w:r>
      <w:r w:rsidR="00C56339" w:rsidRP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。目前</w:t>
      </w:r>
      <w:r w:rsid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，</w:t>
      </w:r>
      <w:r w:rsidR="00C56339" w:rsidRP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国内疫情防控取得了阶段性成果，但境外疫情却快速蔓延，建设银行</w:t>
      </w:r>
      <w:r w:rsid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迅速启动境外应急援助</w:t>
      </w:r>
      <w:r w:rsidR="003E782B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，一方面</w:t>
      </w:r>
      <w:r w:rsidR="00C56339" w:rsidRP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安排将存量防疫物</w:t>
      </w:r>
      <w:r w:rsidR="00C56339" w:rsidRP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lastRenderedPageBreak/>
        <w:t>资捐赠给疫情严重的国家</w:t>
      </w:r>
      <w:r w:rsid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和地区；另一方面依托逐步恢复的国内产能和雄厚的客户基础，采购</w:t>
      </w:r>
      <w:r w:rsidR="00C56339" w:rsidRP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防疫物资组织对外捐赠</w:t>
      </w:r>
      <w:r w:rsidR="00056356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，并及时了解</w:t>
      </w:r>
      <w:proofErr w:type="gramStart"/>
      <w:r w:rsidR="00056356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境外政府</w:t>
      </w:r>
      <w:proofErr w:type="gramEnd"/>
      <w:r w:rsidR="00056356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机构和医疗机构的抗</w:t>
      </w:r>
      <w:proofErr w:type="gramStart"/>
      <w:r w:rsidR="00056356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疫</w:t>
      </w:r>
      <w:proofErr w:type="gramEnd"/>
      <w:r w:rsidR="00056356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物资</w:t>
      </w:r>
      <w:r w:rsidR="0073288E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需求，建立跨境撮合平台，为境内企业及时准确出口、满足境外抗</w:t>
      </w:r>
      <w:proofErr w:type="gramStart"/>
      <w:r w:rsidR="0073288E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疫</w:t>
      </w:r>
      <w:proofErr w:type="gramEnd"/>
      <w:r w:rsidR="0073288E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需求提供服务</w:t>
      </w:r>
      <w:r w:rsidR="00C56339" w:rsidRPr="00C56339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。截至目前，建设银行已安排境外捐赠防疫物资</w:t>
      </w:r>
      <w:r w:rsidR="00C56339" w:rsidRPr="00614B22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近</w:t>
      </w:r>
      <w:r w:rsidR="00FB38C9" w:rsidRPr="00614B22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9</w:t>
      </w:r>
      <w:r w:rsidR="00C56339" w:rsidRPr="00614B22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0万件，包括重症呼吸机50台、防护服、医用N95口罩等，合计金额近1500万元人民币，</w:t>
      </w:r>
      <w:bookmarkStart w:id="2" w:name="_GoBack"/>
      <w:bookmarkEnd w:id="2"/>
      <w:r w:rsidR="00C56339" w:rsidRPr="00614B22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捐赠对象涉及韩国、日本、</w:t>
      </w:r>
      <w:r w:rsidR="00FB38C9" w:rsidRPr="00614B22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新加坡、</w:t>
      </w:r>
      <w:r w:rsidR="00C56339" w:rsidRPr="00614B22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马来西亚、意大利、法国、西班牙、荷兰、卢森堡、瑞士、</w:t>
      </w:r>
      <w:r w:rsidR="00FB38C9" w:rsidRPr="00614B22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波兰、</w:t>
      </w:r>
      <w:r w:rsidR="00C56339" w:rsidRPr="00614B22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匈牙利、俄罗斯、哈萨克斯坦、阿联酋、英国、德国、香港等</w:t>
      </w:r>
      <w:r w:rsidR="00614B22" w:rsidRPr="00614B22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18</w:t>
      </w:r>
      <w:r w:rsidR="00C56339" w:rsidRPr="00614B22">
        <w:rPr>
          <w:rFonts w:ascii="彩虹粗仿宋" w:eastAsia="彩虹粗仿宋" w:hAnsi="彩虹粗仿宋" w:cs="彩虹粗仿宋" w:hint="eastAsia"/>
          <w:kern w:val="0"/>
          <w:sz w:val="32"/>
          <w:szCs w:val="32"/>
          <w:lang w:val="en-GB"/>
        </w:rPr>
        <w:t>个国家和地区。</w:t>
      </w:r>
    </w:p>
    <w:p w14:paraId="223F7394" w14:textId="6D924CAB" w:rsidR="00B45188" w:rsidRDefault="00BE16DD" w:rsidP="005F4DD8">
      <w:pPr>
        <w:widowControl/>
        <w:spacing w:line="560" w:lineRule="exact"/>
        <w:ind w:firstLineChars="200" w:firstLine="640"/>
        <w:rPr>
          <w:rFonts w:ascii="彩虹粗仿宋" w:eastAsia="彩虹粗仿宋" w:cs="宋体" w:hint="eastAsia"/>
          <w:kern w:val="0"/>
          <w:sz w:val="32"/>
          <w:szCs w:val="32"/>
          <w:lang w:val="en-GB"/>
        </w:rPr>
      </w:pPr>
      <w:r w:rsidRPr="00BE16DD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2020年是建设银行“三大战略”纵深推进的一年，面对</w:t>
      </w:r>
      <w:r w:rsidR="008709CA" w:rsidRPr="005F4DD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国内外复杂的形势和各种挑战，面对疫情带来的不确定性，建设银行将保持巩固战略定力，持续增强“三个能力”建设，坚持以“新金融+高科技”谋篇布局，</w:t>
      </w:r>
      <w:r w:rsidR="00AC075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切实加快数字化经营的拓展力度，</w:t>
      </w:r>
      <w:r w:rsidR="008709CA" w:rsidRPr="005F4DD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进一步下沉普惠金融、“三农”金融、社区金融、住房租赁、金融科技等服务重心，</w:t>
      </w:r>
      <w:r w:rsidR="00581AC0" w:rsidRPr="00581AC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推进新金融实践扩面上量</w:t>
      </w:r>
      <w:r w:rsidR="00581AC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。</w:t>
      </w:r>
      <w:r w:rsidR="008709CA" w:rsidRPr="005F4DD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在继续一手全力支持抗击疫情，一手服务经济社会发展中发挥大行担当，在助力打好三大攻坚战中</w:t>
      </w:r>
      <w:proofErr w:type="gramStart"/>
      <w:r w:rsidR="008709CA" w:rsidRPr="005F4DD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作出</w:t>
      </w:r>
      <w:proofErr w:type="gramEnd"/>
      <w:r w:rsidR="008709CA" w:rsidRPr="005F4DD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应有努力，以新金融行动绘就“第二发展曲线”，进一步推动全行的高质量发展</w:t>
      </w:r>
      <w:r w:rsidR="00581AC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，</w:t>
      </w:r>
      <w:r w:rsidR="00581AC0" w:rsidRPr="00581AC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为全面建成小康社会和“十三五”规划圆满收官</w:t>
      </w:r>
      <w:proofErr w:type="gramStart"/>
      <w:r w:rsidR="00581AC0" w:rsidRPr="00581AC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作出</w:t>
      </w:r>
      <w:proofErr w:type="gramEnd"/>
      <w:r w:rsidR="00581AC0" w:rsidRPr="00581AC0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积极贡献。</w:t>
      </w:r>
    </w:p>
    <w:p w14:paraId="4AE1B61F" w14:textId="77777777" w:rsidR="00CB7265" w:rsidRDefault="00CB7265" w:rsidP="005F4DD8">
      <w:pPr>
        <w:widowControl/>
        <w:spacing w:line="560" w:lineRule="exact"/>
        <w:ind w:firstLineChars="200" w:firstLine="640"/>
        <w:rPr>
          <w:rFonts w:ascii="彩虹粗仿宋" w:eastAsia="彩虹粗仿宋" w:cs="宋体" w:hint="eastAsia"/>
          <w:kern w:val="0"/>
          <w:sz w:val="32"/>
          <w:szCs w:val="32"/>
          <w:lang w:val="en-GB"/>
        </w:rPr>
      </w:pPr>
    </w:p>
    <w:p w14:paraId="50148EB7" w14:textId="77777777" w:rsidR="00CB7265" w:rsidRDefault="00CB7265" w:rsidP="005F4DD8">
      <w:pPr>
        <w:widowControl/>
        <w:spacing w:line="560" w:lineRule="exact"/>
        <w:ind w:firstLineChars="200" w:firstLine="640"/>
        <w:rPr>
          <w:rFonts w:ascii="彩虹粗仿宋" w:eastAsia="彩虹粗仿宋" w:cs="宋体" w:hint="eastAsia"/>
          <w:kern w:val="0"/>
          <w:sz w:val="32"/>
          <w:szCs w:val="32"/>
          <w:lang w:val="en-GB"/>
        </w:rPr>
      </w:pPr>
    </w:p>
    <w:p w14:paraId="3FB3D8F3" w14:textId="77777777" w:rsidR="00CB7265" w:rsidRPr="00581AC0" w:rsidRDefault="00CB7265" w:rsidP="005F4DD8">
      <w:pPr>
        <w:widowControl/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  <w:lang w:val="en-GB"/>
        </w:rPr>
      </w:pPr>
    </w:p>
    <w:p w14:paraId="3666A4BA" w14:textId="77777777" w:rsidR="005F4DD8" w:rsidRPr="00425B28" w:rsidRDefault="005F4DD8" w:rsidP="00FB38C9">
      <w:pPr>
        <w:widowControl/>
        <w:spacing w:line="560" w:lineRule="exact"/>
        <w:jc w:val="center"/>
        <w:rPr>
          <w:rFonts w:ascii="彩虹粗仿宋" w:eastAsia="彩虹粗仿宋" w:cs="宋体"/>
          <w:b/>
          <w:kern w:val="0"/>
          <w:sz w:val="32"/>
          <w:szCs w:val="32"/>
        </w:rPr>
      </w:pPr>
      <w:r w:rsidRPr="00425B28">
        <w:rPr>
          <w:rFonts w:ascii="彩虹粗仿宋" w:eastAsia="彩虹粗仿宋" w:cs="宋体" w:hint="eastAsia"/>
          <w:b/>
          <w:kern w:val="0"/>
          <w:sz w:val="32"/>
          <w:szCs w:val="32"/>
        </w:rPr>
        <w:lastRenderedPageBreak/>
        <w:t>关于中国建设银行</w:t>
      </w:r>
    </w:p>
    <w:p w14:paraId="1ACA56B4" w14:textId="0895F002" w:rsidR="005F4DD8" w:rsidRPr="008709CA" w:rsidRDefault="005F4DD8" w:rsidP="005F4DD8">
      <w:pPr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  <w:lang w:val="en-GB"/>
        </w:rPr>
      </w:pPr>
      <w:r w:rsidRP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中国建设银行股份有限公司是一家中国领先的大型商业银行，总部设在北京，其前身中国建设银行成立于1954年10月。本行2005年10月在香港联合交易所挂牌上市（股票代码939），2007年9月在上海证券交易所挂牌上市（股票代码601939</w:t>
      </w:r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）。建设银行</w:t>
      </w:r>
      <w:r w:rsidRP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2019年末市值约为2,176.86亿美元，居全球上市银行第五位。按一级资本排序，在全球银行中位列第二。</w:t>
      </w:r>
    </w:p>
    <w:p w14:paraId="5F6CF6C7" w14:textId="77777777" w:rsidR="005F4DD8" w:rsidRPr="008709CA" w:rsidRDefault="005F4DD8" w:rsidP="005F4DD8">
      <w:pPr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  <w:lang w:val="en-GB"/>
        </w:rPr>
      </w:pPr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建设银行</w:t>
      </w:r>
      <w:r w:rsidRP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为客户提供个人银行业务、公司银行业务、投资理财等全面的金融服务，设有14,912个分支机构，拥有347,156位员工，服务于亿万个人和公司客户。在基金、租赁、信托、保险、期货、养老金、投行等多个行业拥有子公司，境外机构覆盖30个国家和地区，拥有各级境外机构200余家。</w:t>
      </w:r>
    </w:p>
    <w:p w14:paraId="724423C1" w14:textId="77777777" w:rsidR="005F4DD8" w:rsidRPr="008709CA" w:rsidRDefault="005F4DD8" w:rsidP="005F4DD8">
      <w:pPr>
        <w:spacing w:line="560" w:lineRule="exact"/>
        <w:ind w:firstLineChars="200" w:firstLine="640"/>
        <w:rPr>
          <w:rFonts w:ascii="彩虹粗仿宋" w:eastAsia="彩虹粗仿宋" w:cs="宋体"/>
          <w:kern w:val="0"/>
          <w:sz w:val="32"/>
          <w:szCs w:val="32"/>
          <w:lang w:val="en-GB"/>
        </w:rPr>
      </w:pPr>
      <w:r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建设银行</w:t>
      </w:r>
      <w:r w:rsidRP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秉承“以市场为导向、以客户为中心”的经营理念，致力于</w:t>
      </w:r>
      <w:r w:rsidR="00595EF8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成为</w:t>
      </w:r>
      <w:r w:rsidRPr="008709CA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最具价值创造力的国际一流银行集团，达到短期效益与长期效益的统一、经营目标与社会责任目标的统一，最终实现客户、股东、员工和社会等利益相关体的价值最大化。</w:t>
      </w:r>
    </w:p>
    <w:p w14:paraId="3B1C9FCB" w14:textId="77777777" w:rsidR="005F4DD8" w:rsidRDefault="005F4DD8" w:rsidP="005F4DD8">
      <w:pPr>
        <w:spacing w:line="560" w:lineRule="exact"/>
        <w:ind w:firstLineChars="200" w:firstLine="420"/>
      </w:pPr>
    </w:p>
    <w:p w14:paraId="542B122D" w14:textId="77777777" w:rsidR="005F4DD8" w:rsidRDefault="005F4DD8" w:rsidP="00B45188">
      <w:pPr>
        <w:widowControl/>
        <w:spacing w:line="560" w:lineRule="exact"/>
        <w:ind w:firstLineChars="200" w:firstLine="643"/>
        <w:rPr>
          <w:rFonts w:ascii="彩虹粗仿宋" w:eastAsia="彩虹粗仿宋" w:cs="宋体"/>
          <w:b/>
          <w:kern w:val="0"/>
          <w:sz w:val="32"/>
          <w:szCs w:val="32"/>
        </w:rPr>
      </w:pPr>
    </w:p>
    <w:p w14:paraId="1365239D" w14:textId="77777777" w:rsidR="005F4DD8" w:rsidRDefault="005F4DD8" w:rsidP="00B45188">
      <w:pPr>
        <w:widowControl/>
        <w:spacing w:line="560" w:lineRule="exact"/>
        <w:ind w:firstLineChars="200" w:firstLine="643"/>
        <w:rPr>
          <w:rFonts w:ascii="彩虹粗仿宋" w:eastAsia="彩虹粗仿宋" w:cs="宋体"/>
          <w:b/>
          <w:kern w:val="0"/>
          <w:sz w:val="32"/>
          <w:szCs w:val="32"/>
        </w:rPr>
      </w:pPr>
    </w:p>
    <w:p w14:paraId="2A13FAA7" w14:textId="77777777" w:rsidR="005F4DD8" w:rsidRDefault="005F4DD8" w:rsidP="00B45188">
      <w:pPr>
        <w:widowControl/>
        <w:spacing w:line="560" w:lineRule="exact"/>
        <w:ind w:firstLineChars="200" w:firstLine="643"/>
        <w:rPr>
          <w:rFonts w:ascii="彩虹粗仿宋" w:eastAsia="彩虹粗仿宋" w:cs="宋体"/>
          <w:b/>
          <w:kern w:val="0"/>
          <w:sz w:val="32"/>
          <w:szCs w:val="32"/>
        </w:rPr>
      </w:pPr>
    </w:p>
    <w:p w14:paraId="5B83B07C" w14:textId="77777777" w:rsidR="005F4DD8" w:rsidRPr="005F4DD8" w:rsidRDefault="005F4DD8" w:rsidP="00B45188">
      <w:pPr>
        <w:widowControl/>
        <w:spacing w:line="560" w:lineRule="exact"/>
        <w:ind w:firstLineChars="200" w:firstLine="643"/>
        <w:rPr>
          <w:rFonts w:ascii="彩虹粗仿宋" w:eastAsia="彩虹粗仿宋" w:cs="宋体"/>
          <w:b/>
          <w:kern w:val="0"/>
          <w:sz w:val="32"/>
          <w:szCs w:val="32"/>
        </w:rPr>
      </w:pPr>
    </w:p>
    <w:sectPr w:rsidR="005F4DD8" w:rsidRPr="005F4D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9683E6" w15:done="0"/>
  <w15:commentEx w15:paraId="738B0C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99628" w14:textId="77777777" w:rsidR="000B0289" w:rsidRDefault="000B0289" w:rsidP="009E1A06">
      <w:r>
        <w:separator/>
      </w:r>
    </w:p>
  </w:endnote>
  <w:endnote w:type="continuationSeparator" w:id="0">
    <w:p w14:paraId="239C41AC" w14:textId="77777777" w:rsidR="000B0289" w:rsidRDefault="000B0289" w:rsidP="009E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0438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50F2A33" w14:textId="75B03DF3" w:rsidR="00F17468" w:rsidRDefault="00F1746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02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02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11D00E" w14:textId="77777777" w:rsidR="00F17468" w:rsidRDefault="00F174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A9F41" w14:textId="77777777" w:rsidR="000B0289" w:rsidRDefault="000B0289" w:rsidP="009E1A06">
      <w:r>
        <w:separator/>
      </w:r>
    </w:p>
  </w:footnote>
  <w:footnote w:type="continuationSeparator" w:id="0">
    <w:p w14:paraId="58EA2754" w14:textId="77777777" w:rsidR="000B0289" w:rsidRDefault="000B0289" w:rsidP="009E1A0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CW">
    <w15:presenceInfo w15:providerId="None" w15:userId="BC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A7"/>
    <w:rsid w:val="00035448"/>
    <w:rsid w:val="0004423A"/>
    <w:rsid w:val="000461F8"/>
    <w:rsid w:val="000543C0"/>
    <w:rsid w:val="00056356"/>
    <w:rsid w:val="0006380C"/>
    <w:rsid w:val="00070A7C"/>
    <w:rsid w:val="00070F07"/>
    <w:rsid w:val="00083041"/>
    <w:rsid w:val="00083DC1"/>
    <w:rsid w:val="00085A4D"/>
    <w:rsid w:val="0009213E"/>
    <w:rsid w:val="00094457"/>
    <w:rsid w:val="000A4337"/>
    <w:rsid w:val="000B0289"/>
    <w:rsid w:val="000C2767"/>
    <w:rsid w:val="000D5044"/>
    <w:rsid w:val="000E5F8E"/>
    <w:rsid w:val="000F16D0"/>
    <w:rsid w:val="00120E6C"/>
    <w:rsid w:val="0012638A"/>
    <w:rsid w:val="00135B44"/>
    <w:rsid w:val="00140E0A"/>
    <w:rsid w:val="00165B97"/>
    <w:rsid w:val="00185522"/>
    <w:rsid w:val="00186A31"/>
    <w:rsid w:val="00197111"/>
    <w:rsid w:val="001A28DE"/>
    <w:rsid w:val="001B0C2E"/>
    <w:rsid w:val="001B10E1"/>
    <w:rsid w:val="001B23C3"/>
    <w:rsid w:val="001C494F"/>
    <w:rsid w:val="001D2D3B"/>
    <w:rsid w:val="001D2DF3"/>
    <w:rsid w:val="001E04EE"/>
    <w:rsid w:val="001E706C"/>
    <w:rsid w:val="0022177C"/>
    <w:rsid w:val="00240858"/>
    <w:rsid w:val="002409B3"/>
    <w:rsid w:val="00264665"/>
    <w:rsid w:val="002667E9"/>
    <w:rsid w:val="002853BD"/>
    <w:rsid w:val="002A15FC"/>
    <w:rsid w:val="002A1664"/>
    <w:rsid w:val="002A361D"/>
    <w:rsid w:val="002A4DF5"/>
    <w:rsid w:val="002A5483"/>
    <w:rsid w:val="002B3CFF"/>
    <w:rsid w:val="002C75FE"/>
    <w:rsid w:val="002E7732"/>
    <w:rsid w:val="00314498"/>
    <w:rsid w:val="00341966"/>
    <w:rsid w:val="00343F3C"/>
    <w:rsid w:val="003537A1"/>
    <w:rsid w:val="00354143"/>
    <w:rsid w:val="00372AD7"/>
    <w:rsid w:val="00376ADB"/>
    <w:rsid w:val="00381C26"/>
    <w:rsid w:val="003913EB"/>
    <w:rsid w:val="003B071B"/>
    <w:rsid w:val="003C46B4"/>
    <w:rsid w:val="003D2CA9"/>
    <w:rsid w:val="003D5EF1"/>
    <w:rsid w:val="003E782B"/>
    <w:rsid w:val="003F19C5"/>
    <w:rsid w:val="003F2983"/>
    <w:rsid w:val="003F6779"/>
    <w:rsid w:val="00403B05"/>
    <w:rsid w:val="00414FAD"/>
    <w:rsid w:val="00425B28"/>
    <w:rsid w:val="00441001"/>
    <w:rsid w:val="00454FF7"/>
    <w:rsid w:val="00455029"/>
    <w:rsid w:val="00494569"/>
    <w:rsid w:val="004A2145"/>
    <w:rsid w:val="004A39C0"/>
    <w:rsid w:val="004A7596"/>
    <w:rsid w:val="004B7340"/>
    <w:rsid w:val="004C7DE4"/>
    <w:rsid w:val="00505633"/>
    <w:rsid w:val="00522D1F"/>
    <w:rsid w:val="005249FF"/>
    <w:rsid w:val="005252D5"/>
    <w:rsid w:val="00536A18"/>
    <w:rsid w:val="00562BA7"/>
    <w:rsid w:val="0056633B"/>
    <w:rsid w:val="00573A1C"/>
    <w:rsid w:val="005819A9"/>
    <w:rsid w:val="00581AC0"/>
    <w:rsid w:val="00595EF8"/>
    <w:rsid w:val="005B163E"/>
    <w:rsid w:val="005F4DD8"/>
    <w:rsid w:val="005F73F1"/>
    <w:rsid w:val="006065FC"/>
    <w:rsid w:val="00614246"/>
    <w:rsid w:val="00614B22"/>
    <w:rsid w:val="00621D5F"/>
    <w:rsid w:val="006246DC"/>
    <w:rsid w:val="0066501E"/>
    <w:rsid w:val="00666396"/>
    <w:rsid w:val="0067192D"/>
    <w:rsid w:val="006735AE"/>
    <w:rsid w:val="006813AA"/>
    <w:rsid w:val="006A3843"/>
    <w:rsid w:val="006C2A23"/>
    <w:rsid w:val="006D0F93"/>
    <w:rsid w:val="006F7313"/>
    <w:rsid w:val="007114FE"/>
    <w:rsid w:val="00715F3D"/>
    <w:rsid w:val="00720E8A"/>
    <w:rsid w:val="007306C2"/>
    <w:rsid w:val="007311D0"/>
    <w:rsid w:val="0073288E"/>
    <w:rsid w:val="00742292"/>
    <w:rsid w:val="007445F9"/>
    <w:rsid w:val="00753721"/>
    <w:rsid w:val="007540A5"/>
    <w:rsid w:val="00766981"/>
    <w:rsid w:val="00772D3E"/>
    <w:rsid w:val="0077485D"/>
    <w:rsid w:val="00791566"/>
    <w:rsid w:val="00795543"/>
    <w:rsid w:val="007A6E1B"/>
    <w:rsid w:val="007B4FDE"/>
    <w:rsid w:val="007F09CC"/>
    <w:rsid w:val="007F14FA"/>
    <w:rsid w:val="007F3E6B"/>
    <w:rsid w:val="00811BCD"/>
    <w:rsid w:val="008130DC"/>
    <w:rsid w:val="00834606"/>
    <w:rsid w:val="008709CA"/>
    <w:rsid w:val="00873B36"/>
    <w:rsid w:val="00873EFE"/>
    <w:rsid w:val="008759CA"/>
    <w:rsid w:val="00882968"/>
    <w:rsid w:val="008A0415"/>
    <w:rsid w:val="008B2A7F"/>
    <w:rsid w:val="008B7C62"/>
    <w:rsid w:val="008C19E4"/>
    <w:rsid w:val="008D6063"/>
    <w:rsid w:val="00913B67"/>
    <w:rsid w:val="00922BF4"/>
    <w:rsid w:val="009320E5"/>
    <w:rsid w:val="009409F7"/>
    <w:rsid w:val="009667B5"/>
    <w:rsid w:val="0097176D"/>
    <w:rsid w:val="00983E3F"/>
    <w:rsid w:val="009A062D"/>
    <w:rsid w:val="009A34DE"/>
    <w:rsid w:val="009E1A06"/>
    <w:rsid w:val="009F56A9"/>
    <w:rsid w:val="009F73BF"/>
    <w:rsid w:val="00A0762A"/>
    <w:rsid w:val="00A24690"/>
    <w:rsid w:val="00A54443"/>
    <w:rsid w:val="00A87AEB"/>
    <w:rsid w:val="00AC075A"/>
    <w:rsid w:val="00AC7471"/>
    <w:rsid w:val="00AD51CF"/>
    <w:rsid w:val="00AD73A4"/>
    <w:rsid w:val="00B26914"/>
    <w:rsid w:val="00B37945"/>
    <w:rsid w:val="00B4417D"/>
    <w:rsid w:val="00B45188"/>
    <w:rsid w:val="00B54C99"/>
    <w:rsid w:val="00B7034B"/>
    <w:rsid w:val="00B75143"/>
    <w:rsid w:val="00BB13D7"/>
    <w:rsid w:val="00BD4511"/>
    <w:rsid w:val="00BE043D"/>
    <w:rsid w:val="00BE16DD"/>
    <w:rsid w:val="00BE16E8"/>
    <w:rsid w:val="00C234BD"/>
    <w:rsid w:val="00C34C45"/>
    <w:rsid w:val="00C37597"/>
    <w:rsid w:val="00C40187"/>
    <w:rsid w:val="00C51A38"/>
    <w:rsid w:val="00C5519D"/>
    <w:rsid w:val="00C56339"/>
    <w:rsid w:val="00C7669C"/>
    <w:rsid w:val="00C86CDB"/>
    <w:rsid w:val="00C94D93"/>
    <w:rsid w:val="00CB1AA5"/>
    <w:rsid w:val="00CB7265"/>
    <w:rsid w:val="00CC1653"/>
    <w:rsid w:val="00CD4E64"/>
    <w:rsid w:val="00CD689B"/>
    <w:rsid w:val="00CE759D"/>
    <w:rsid w:val="00D03271"/>
    <w:rsid w:val="00D0653E"/>
    <w:rsid w:val="00D1669A"/>
    <w:rsid w:val="00D349D8"/>
    <w:rsid w:val="00D36CA0"/>
    <w:rsid w:val="00D444B0"/>
    <w:rsid w:val="00D51DF0"/>
    <w:rsid w:val="00D84300"/>
    <w:rsid w:val="00D875D1"/>
    <w:rsid w:val="00D95EF8"/>
    <w:rsid w:val="00DA14E2"/>
    <w:rsid w:val="00DB631C"/>
    <w:rsid w:val="00DC782E"/>
    <w:rsid w:val="00DD113A"/>
    <w:rsid w:val="00DE47BE"/>
    <w:rsid w:val="00E069B4"/>
    <w:rsid w:val="00E202AA"/>
    <w:rsid w:val="00E3292C"/>
    <w:rsid w:val="00E34ECD"/>
    <w:rsid w:val="00E3649D"/>
    <w:rsid w:val="00E67990"/>
    <w:rsid w:val="00E9227E"/>
    <w:rsid w:val="00E92887"/>
    <w:rsid w:val="00EA443F"/>
    <w:rsid w:val="00ED2AA0"/>
    <w:rsid w:val="00F17468"/>
    <w:rsid w:val="00F202FA"/>
    <w:rsid w:val="00F747A9"/>
    <w:rsid w:val="00F76A24"/>
    <w:rsid w:val="00F90DFF"/>
    <w:rsid w:val="00FA6DAF"/>
    <w:rsid w:val="00FB1421"/>
    <w:rsid w:val="00FB38C9"/>
    <w:rsid w:val="00FC746F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738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3B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3B3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73B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F73B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F73B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F73B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F73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3B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3B3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73B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F73B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F73B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F73B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F7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9B1E-4AE9-4F36-880F-985E2DAE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</dc:creator>
  <cp:lastModifiedBy>张天</cp:lastModifiedBy>
  <cp:revision>45</cp:revision>
  <cp:lastPrinted>2020-03-29T08:41:00Z</cp:lastPrinted>
  <dcterms:created xsi:type="dcterms:W3CDTF">2020-03-18T06:53:00Z</dcterms:created>
  <dcterms:modified xsi:type="dcterms:W3CDTF">2020-03-29T10:55:00Z</dcterms:modified>
</cp:coreProperties>
</file>