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粗仿宋" w:hAnsi="宋体" w:eastAsia="彩虹粗仿宋" w:cs="Times New Roman"/>
          <w:snapToGrid w:val="0"/>
          <w:kern w:val="0"/>
          <w:sz w:val="32"/>
          <w:szCs w:val="32"/>
        </w:rPr>
      </w:pPr>
      <w:r>
        <w:rPr>
          <w:rFonts w:hint="eastAsia" w:ascii="彩虹粗仿宋" w:hAnsi="宋体" w:eastAsia="彩虹粗仿宋" w:cs="Times New Roman"/>
          <w:b/>
          <w:snapToGrid w:val="0"/>
          <w:kern w:val="0"/>
          <w:sz w:val="32"/>
          <w:szCs w:val="32"/>
        </w:rPr>
        <w:t>2026-2028年</w:t>
      </w:r>
      <w:r>
        <w:rPr>
          <w:rFonts w:hint="eastAsia" w:ascii="彩虹粗仿宋" w:hAnsi="宋体" w:eastAsia="彩虹粗仿宋" w:cs="Times New Roman"/>
          <w:b/>
          <w:snapToGrid w:val="0"/>
          <w:kern w:val="0"/>
          <w:sz w:val="32"/>
          <w:szCs w:val="32"/>
          <w:lang w:val="en-US" w:eastAsia="zh-CN"/>
        </w:rPr>
        <w:t>厦门市分行</w:t>
      </w:r>
      <w:r>
        <w:rPr>
          <w:rFonts w:hint="eastAsia" w:ascii="彩虹粗仿宋" w:hAnsi="宋体" w:eastAsia="彩虹粗仿宋" w:cs="Times New Roman"/>
          <w:b/>
          <w:snapToGrid w:val="0"/>
          <w:kern w:val="0"/>
          <w:sz w:val="32"/>
          <w:szCs w:val="32"/>
        </w:rPr>
        <w:t>商户运维服务外包采购需求</w:t>
      </w:r>
    </w:p>
    <w:p>
      <w:pPr>
        <w:spacing w:line="360" w:lineRule="auto"/>
        <w:ind w:firstLine="562" w:firstLineChars="200"/>
        <w:rPr>
          <w:rFonts w:ascii="彩虹粗仿宋" w:eastAsia="彩虹粗仿宋"/>
          <w:b/>
          <w:sz w:val="28"/>
          <w:szCs w:val="28"/>
        </w:rPr>
      </w:pPr>
      <w:r>
        <w:rPr>
          <w:rFonts w:hint="eastAsia" w:ascii="彩虹粗仿宋" w:eastAsia="彩虹粗仿宋"/>
          <w:b/>
          <w:sz w:val="28"/>
          <w:szCs w:val="28"/>
        </w:rPr>
        <w:t>一、服务供应商要求</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（一）在国内依法成立和合法经营的专业服务机构，具有金融服务外包、金融流程外包、以服务外包的方式从事业务流程外包或受银行委托承接外包服务等</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任一项</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经营范围。商业信誉良好，财务制度健全，经营状况稳定，企业和法人均无重大违纪违规记录，符合</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客户身份识别管理要求，不存在</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反洗钱客户身份识别管理制度规定的禁止准入情形或停止业务关系的情形。</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（二）拥有稳定的专业人员队伍，应具备满足开展业务经营的经营场地、组织架构、人员规模、完善的服务体系和服务支持能力。如服务商注册地址为异地时，须在合作分行所在地有固定办公场所。</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三）拥有基本的科技管理能力，具有完善的商户维护管理流程和管理系统，能够全面准确记录商户维护的终端维修、耗材配送、终端撤换等全部工作内容。具有24小时服务热线，可提供满足应急处理的全天候服务支持。</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（四）拥有健全的商户服务风险管理机制，具备应对终端突发事件的处置能力，落实从业人员签订保密协议。</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（五）拥有完善的培训机制，对从业人员进行安全教育、岗位技能培训，并对培训情况记录归档备查。</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（六）拥有健全的考核机制，对从业人员进行安全责任、服务质量考核，及时清退不合格人员。</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（七）服务商原则上不得有收单牌照，须已在中国支付清算协会收单外包服务机构备案，应具备中国支付清算协会评分评级合格及以上。</w:t>
      </w:r>
    </w:p>
    <w:p>
      <w:pPr>
        <w:spacing w:line="360" w:lineRule="auto"/>
        <w:ind w:firstLine="425" w:firstLineChars="152"/>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（八）服务商不存在被监管机构禁止或审慎发展的情形。</w:t>
      </w:r>
    </w:p>
    <w:p>
      <w:pPr>
        <w:spacing w:line="360" w:lineRule="auto"/>
        <w:ind w:firstLine="562" w:firstLineChars="200"/>
        <w:rPr>
          <w:rFonts w:ascii="彩虹粗仿宋" w:hAnsi="彩虹粗仿宋" w:eastAsia="彩虹粗仿宋" w:cs="彩虹粗仿宋"/>
          <w:b/>
          <w:sz w:val="28"/>
          <w:szCs w:val="28"/>
          <w:highlight w:val="none"/>
        </w:rPr>
      </w:pPr>
      <w:r>
        <w:rPr>
          <w:rFonts w:hint="eastAsia" w:ascii="彩虹粗仿宋" w:hAnsi="彩虹粗仿宋" w:eastAsia="彩虹粗仿宋" w:cs="彩虹粗仿宋"/>
          <w:b/>
          <w:sz w:val="28"/>
          <w:szCs w:val="28"/>
          <w:highlight w:val="none"/>
        </w:rPr>
        <w:t>二、服务品类</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本次采购服务为商户运维服务外包，属于非IT常用服务类。</w:t>
      </w:r>
    </w:p>
    <w:p>
      <w:pPr>
        <w:spacing w:line="360" w:lineRule="auto"/>
        <w:ind w:firstLine="562" w:firstLineChars="200"/>
        <w:rPr>
          <w:rFonts w:ascii="彩虹粗仿宋" w:hAnsi="彩虹粗仿宋" w:eastAsia="彩虹粗仿宋" w:cs="彩虹粗仿宋"/>
          <w:b/>
          <w:sz w:val="28"/>
          <w:szCs w:val="28"/>
          <w:highlight w:val="none"/>
        </w:rPr>
      </w:pPr>
      <w:r>
        <w:rPr>
          <w:rFonts w:hint="eastAsia" w:ascii="彩虹粗仿宋" w:hAnsi="彩虹粗仿宋" w:eastAsia="彩虹粗仿宋" w:cs="彩虹粗仿宋"/>
          <w:b/>
          <w:sz w:val="28"/>
          <w:szCs w:val="28"/>
          <w:highlight w:val="none"/>
        </w:rPr>
        <w:t>三、服务内容</w:t>
      </w:r>
    </w:p>
    <w:p>
      <w:pPr>
        <w:ind w:firstLine="565" w:firstLineChars="201"/>
        <w:rPr>
          <w:rFonts w:ascii="彩虹粗仿宋" w:hAnsi="彩虹粗仿宋" w:eastAsia="彩虹粗仿宋" w:cs="彩虹粗仿宋"/>
          <w:b/>
          <w:sz w:val="28"/>
          <w:szCs w:val="28"/>
          <w:highlight w:val="none"/>
        </w:rPr>
      </w:pPr>
      <w:r>
        <w:rPr>
          <w:rFonts w:hint="eastAsia" w:ascii="彩虹粗仿宋" w:hAnsi="彩虹粗仿宋" w:eastAsia="彩虹粗仿宋" w:cs="彩虹粗仿宋"/>
          <w:b/>
          <w:sz w:val="28"/>
          <w:szCs w:val="28"/>
          <w:highlight w:val="none"/>
        </w:rPr>
        <w:t>1.</w:t>
      </w:r>
      <w:r>
        <w:rPr>
          <w:rFonts w:hint="eastAsia" w:ascii="彩虹粗仿宋" w:hAnsi="彩虹粗仿宋" w:eastAsia="彩虹粗仿宋" w:cs="彩虹粗仿宋"/>
          <w:sz w:val="28"/>
          <w:szCs w:val="28"/>
          <w:highlight w:val="none"/>
        </w:rPr>
        <w:t xml:space="preserve"> </w:t>
      </w:r>
      <w:r>
        <w:rPr>
          <w:rFonts w:hint="eastAsia" w:ascii="彩虹粗仿宋" w:hAnsi="彩虹粗仿宋" w:eastAsia="彩虹粗仿宋" w:cs="彩虹粗仿宋"/>
          <w:b/>
          <w:sz w:val="28"/>
          <w:szCs w:val="28"/>
          <w:highlight w:val="none"/>
        </w:rPr>
        <w:t>聚合支付商户与数字场景建设（网金部）</w:t>
      </w:r>
    </w:p>
    <w:tbl>
      <w:tblPr>
        <w:tblStyle w:val="5"/>
        <w:tblW w:w="8260" w:type="dxa"/>
        <w:tblInd w:w="93" w:type="dxa"/>
        <w:tblLayout w:type="autofit"/>
        <w:tblCellMar>
          <w:top w:w="0" w:type="dxa"/>
          <w:left w:w="108" w:type="dxa"/>
          <w:bottom w:w="0" w:type="dxa"/>
          <w:right w:w="108" w:type="dxa"/>
        </w:tblCellMar>
      </w:tblPr>
      <w:tblGrid>
        <w:gridCol w:w="1120"/>
        <w:gridCol w:w="1580"/>
        <w:gridCol w:w="5560"/>
      </w:tblGrid>
      <w:tr>
        <w:tblPrEx>
          <w:tblCellMar>
            <w:top w:w="0" w:type="dxa"/>
            <w:left w:w="108" w:type="dxa"/>
            <w:bottom w:w="0" w:type="dxa"/>
            <w:right w:w="108" w:type="dxa"/>
          </w:tblCellMar>
        </w:tblPrEx>
        <w:trPr>
          <w:trHeight w:val="315" w:hRule="atLeast"/>
        </w:trPr>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项目大类</w:t>
            </w:r>
          </w:p>
        </w:tc>
        <w:tc>
          <w:tcPr>
            <w:tcW w:w="158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工作大类</w:t>
            </w:r>
          </w:p>
        </w:tc>
        <w:tc>
          <w:tcPr>
            <w:tcW w:w="5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工作事项</w:t>
            </w:r>
          </w:p>
        </w:tc>
      </w:tr>
      <w:tr>
        <w:tblPrEx>
          <w:tblCellMar>
            <w:top w:w="0" w:type="dxa"/>
            <w:left w:w="108" w:type="dxa"/>
            <w:bottom w:w="0" w:type="dxa"/>
            <w:right w:w="108" w:type="dxa"/>
          </w:tblCellMar>
        </w:tblPrEx>
        <w:trPr>
          <w:trHeight w:val="2625" w:hRule="atLeast"/>
        </w:trPr>
        <w:tc>
          <w:tcPr>
            <w:tcW w:w="1120" w:type="dxa"/>
            <w:vMerge w:val="restart"/>
            <w:tcBorders>
              <w:top w:val="nil"/>
              <w:left w:val="single" w:color="auto" w:sz="4" w:space="0"/>
              <w:right w:val="single" w:color="auto" w:sz="4" w:space="0"/>
            </w:tcBorders>
            <w:shd w:val="clear" w:color="auto" w:fill="auto"/>
            <w:noWrap/>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运维服务</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商户运维服务</w:t>
            </w:r>
          </w:p>
        </w:tc>
        <w:tc>
          <w:tcPr>
            <w:tcW w:w="5560" w:type="dxa"/>
            <w:tcBorders>
              <w:top w:val="nil"/>
              <w:left w:val="nil"/>
              <w:bottom w:val="single" w:color="auto" w:sz="4" w:space="0"/>
              <w:right w:val="single" w:color="auto" w:sz="4" w:space="0"/>
            </w:tcBorders>
            <w:shd w:val="clear" w:color="000000" w:fill="FFFFFF"/>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包含但不限于（1）新入网商户服务及存量数币开通激活：主要工作事项有收款终端及其配件的配送、收银员培训、协助做支付认证、现场交易测试，协助存量商户数币收款服务开通和激活，协助上门排查处理疑难问题；（2）商户终端日常维护：包括协助收款终端及配件的更换、日常维护、保养、维修、耗材配送、撤机及异常情况等现场服务响应等；（3）按人行、建</w:t>
            </w:r>
            <w:r>
              <w:rPr>
                <w:rFonts w:hint="eastAsia" w:ascii="彩虹粗仿宋" w:hAnsi="宋体" w:eastAsia="彩虹粗仿宋" w:cs="宋体"/>
                <w:color w:val="000000"/>
                <w:kern w:val="0"/>
                <w:sz w:val="22"/>
                <w:highlight w:val="none"/>
                <w:lang w:val="en-US" w:eastAsia="zh-CN"/>
              </w:rPr>
              <w:t>总</w:t>
            </w:r>
            <w:r>
              <w:rPr>
                <w:rFonts w:hint="eastAsia" w:ascii="彩虹粗仿宋" w:hAnsi="宋体" w:eastAsia="彩虹粗仿宋" w:cs="宋体"/>
                <w:color w:val="000000"/>
                <w:kern w:val="0"/>
                <w:sz w:val="22"/>
                <w:highlight w:val="none"/>
              </w:rPr>
              <w:t>行要求部署的商户巡检工作及</w:t>
            </w:r>
            <w:r>
              <w:rPr>
                <w:rFonts w:hint="eastAsia" w:ascii="彩虹粗仿宋" w:hAnsi="宋体" w:eastAsia="彩虹粗仿宋" w:cs="宋体"/>
                <w:color w:val="000000"/>
                <w:kern w:val="0"/>
                <w:sz w:val="22"/>
                <w:highlight w:val="none"/>
                <w:lang w:eastAsia="zh-CN"/>
              </w:rPr>
              <w:t>招标人</w:t>
            </w:r>
            <w:r>
              <w:rPr>
                <w:rFonts w:hint="eastAsia" w:ascii="彩虹粗仿宋" w:hAnsi="宋体" w:eastAsia="彩虹粗仿宋" w:cs="宋体"/>
                <w:color w:val="000000"/>
                <w:kern w:val="0"/>
                <w:sz w:val="22"/>
                <w:highlight w:val="none"/>
              </w:rPr>
              <w:t>部署的有关商户业务的现场运维工作；（4）建行生活商户的门店巡查、物料布放及有关建行生活业务的现场运维工作；（5）其他</w:t>
            </w:r>
            <w:r>
              <w:rPr>
                <w:rFonts w:hint="eastAsia" w:ascii="彩虹粗仿宋" w:hAnsi="宋体" w:eastAsia="彩虹粗仿宋" w:cs="宋体"/>
                <w:color w:val="000000"/>
                <w:kern w:val="0"/>
                <w:sz w:val="22"/>
                <w:highlight w:val="none"/>
                <w:lang w:eastAsia="zh-CN"/>
              </w:rPr>
              <w:t>招标人</w:t>
            </w:r>
            <w:r>
              <w:rPr>
                <w:rFonts w:hint="eastAsia" w:ascii="彩虹粗仿宋" w:hAnsi="宋体" w:eastAsia="彩虹粗仿宋" w:cs="宋体"/>
                <w:color w:val="000000"/>
                <w:kern w:val="0"/>
                <w:sz w:val="22"/>
                <w:highlight w:val="none"/>
              </w:rPr>
              <w:t>要求的运维服务工作。</w:t>
            </w:r>
          </w:p>
        </w:tc>
      </w:tr>
      <w:tr>
        <w:tblPrEx>
          <w:tblCellMar>
            <w:top w:w="0" w:type="dxa"/>
            <w:left w:w="108" w:type="dxa"/>
            <w:bottom w:w="0" w:type="dxa"/>
            <w:right w:w="108" w:type="dxa"/>
          </w:tblCellMar>
        </w:tblPrEx>
        <w:trPr>
          <w:trHeight w:val="753" w:hRule="atLeast"/>
        </w:trPr>
        <w:tc>
          <w:tcPr>
            <w:tcW w:w="1120" w:type="dxa"/>
            <w:vMerge w:val="continue"/>
            <w:tcBorders>
              <w:left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2"/>
                <w:highlight w:val="none"/>
              </w:rPr>
            </w:pP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商户综合事务</w:t>
            </w:r>
          </w:p>
        </w:tc>
        <w:tc>
          <w:tcPr>
            <w:tcW w:w="5560"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包含但不限于(1)协助商户各类资料整理与归档；（2）协助巡查工单的日常运维管理、后续跟踪处理，登记相关业务台帐等；（3）协助指导网点、商户、客户、现场运维人员开展商户平台、对账、巡查等操作培训及咨询响应；（4）协助整理建行生活入驻材料；（5）协助完成建行生活入驻商户上架、维护、下架等动态管理；（6）协助收单工具日常维护、台账登记及协调收单工具使用培训及咨询等；（7）其他相关综合事务。</w:t>
            </w:r>
          </w:p>
        </w:tc>
      </w:tr>
      <w:tr>
        <w:tblPrEx>
          <w:tblCellMar>
            <w:top w:w="0" w:type="dxa"/>
            <w:left w:w="108" w:type="dxa"/>
            <w:bottom w:w="0" w:type="dxa"/>
            <w:right w:w="108" w:type="dxa"/>
          </w:tblCellMar>
        </w:tblPrEx>
        <w:trPr>
          <w:trHeight w:val="1194" w:hRule="atLeast"/>
        </w:trPr>
        <w:tc>
          <w:tcPr>
            <w:tcW w:w="1120" w:type="dxa"/>
            <w:vMerge w:val="restart"/>
            <w:tcBorders>
              <w:left w:val="single" w:color="auto" w:sz="4" w:space="0"/>
              <w:right w:val="single" w:color="auto" w:sz="4" w:space="0"/>
            </w:tcBorders>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商户辅导</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营销活动</w:t>
            </w:r>
          </w:p>
        </w:tc>
        <w:tc>
          <w:tcPr>
            <w:tcW w:w="5560"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包括但不限于协助商户沟通对接、活动策划、活动培训、活动执行、宣传设计、宣传推广、现场支持、相关综合事务等工作。</w:t>
            </w:r>
          </w:p>
        </w:tc>
      </w:tr>
      <w:tr>
        <w:tblPrEx>
          <w:tblCellMar>
            <w:top w:w="0" w:type="dxa"/>
            <w:left w:w="108" w:type="dxa"/>
            <w:bottom w:w="0" w:type="dxa"/>
            <w:right w:w="108" w:type="dxa"/>
          </w:tblCellMar>
        </w:tblPrEx>
        <w:trPr>
          <w:trHeight w:val="1542" w:hRule="atLeast"/>
        </w:trPr>
        <w:tc>
          <w:tcPr>
            <w:tcW w:w="1120" w:type="dxa"/>
            <w:vMerge w:val="continue"/>
            <w:tcBorders>
              <w:left w:val="single" w:color="auto" w:sz="4" w:space="0"/>
              <w:right w:val="single" w:color="auto" w:sz="4" w:space="0"/>
            </w:tcBorders>
            <w:shd w:val="clear" w:color="auto" w:fill="auto"/>
            <w:noWrap/>
            <w:vAlign w:val="center"/>
          </w:tcPr>
          <w:p>
            <w:pPr>
              <w:widowControl/>
              <w:jc w:val="left"/>
              <w:rPr>
                <w:rFonts w:ascii="彩虹粗仿宋" w:hAnsi="宋体" w:eastAsia="彩虹粗仿宋" w:cs="宋体"/>
                <w:color w:val="000000"/>
                <w:kern w:val="0"/>
                <w:sz w:val="22"/>
                <w:highlight w:val="none"/>
              </w:rPr>
            </w:pPr>
          </w:p>
        </w:tc>
        <w:tc>
          <w:tcPr>
            <w:tcW w:w="1580" w:type="dxa"/>
            <w:tcBorders>
              <w:top w:val="nil"/>
              <w:left w:val="nil"/>
              <w:bottom w:val="single" w:color="auto" w:sz="4" w:space="0"/>
              <w:right w:val="single" w:color="auto" w:sz="4" w:space="0"/>
            </w:tcBorders>
            <w:shd w:val="clear" w:color="000000" w:fill="FFFFFF"/>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项目（新增）</w:t>
            </w:r>
          </w:p>
        </w:tc>
        <w:tc>
          <w:tcPr>
            <w:tcW w:w="5560" w:type="dxa"/>
            <w:tcBorders>
              <w:top w:val="nil"/>
              <w:left w:val="nil"/>
              <w:bottom w:val="single" w:color="auto" w:sz="4" w:space="0"/>
              <w:right w:val="single" w:color="auto" w:sz="4" w:space="0"/>
            </w:tcBorders>
            <w:shd w:val="clear" w:color="000000" w:fill="FFFFFF"/>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协助推进收单商户（人民币、数字人民币、建行生活等）、数字场景、智慧食堂等项目落地、并提供相关辅导支持。包含但不限于协助项目调研，需求分析、落地协调、项目上线、B端及C端客户使用指导、相关综合事务等。</w:t>
            </w:r>
          </w:p>
        </w:tc>
      </w:tr>
      <w:tr>
        <w:tblPrEx>
          <w:tblCellMar>
            <w:top w:w="0" w:type="dxa"/>
            <w:left w:w="108" w:type="dxa"/>
            <w:bottom w:w="0" w:type="dxa"/>
            <w:right w:w="108" w:type="dxa"/>
          </w:tblCellMar>
        </w:tblPrEx>
        <w:trPr>
          <w:trHeight w:val="1435" w:hRule="atLeast"/>
        </w:trPr>
        <w:tc>
          <w:tcPr>
            <w:tcW w:w="1120" w:type="dxa"/>
            <w:vMerge w:val="continue"/>
            <w:tcBorders>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highlight w:val="none"/>
              </w:rPr>
            </w:pPr>
          </w:p>
        </w:tc>
        <w:tc>
          <w:tcPr>
            <w:tcW w:w="1580" w:type="dxa"/>
            <w:tcBorders>
              <w:top w:val="nil"/>
              <w:left w:val="nil"/>
              <w:bottom w:val="single" w:color="auto" w:sz="4" w:space="0"/>
              <w:right w:val="single" w:color="auto" w:sz="4" w:space="0"/>
            </w:tcBorders>
            <w:shd w:val="clear" w:color="000000" w:fill="FFFFFF"/>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项目（存量）</w:t>
            </w:r>
          </w:p>
        </w:tc>
        <w:tc>
          <w:tcPr>
            <w:tcW w:w="5560" w:type="dxa"/>
            <w:tcBorders>
              <w:top w:val="nil"/>
              <w:left w:val="nil"/>
              <w:bottom w:val="single" w:color="auto" w:sz="4" w:space="0"/>
              <w:right w:val="single" w:color="auto" w:sz="4" w:space="0"/>
            </w:tcBorders>
            <w:shd w:val="clear" w:color="000000" w:fill="FFFFFF"/>
            <w:vAlign w:val="center"/>
          </w:tcPr>
          <w:p>
            <w:pPr>
              <w:widowControl/>
              <w:jc w:val="left"/>
              <w:rPr>
                <w:rFonts w:ascii="彩虹粗仿宋" w:hAnsi="宋体" w:eastAsia="彩虹粗仿宋" w:cs="宋体"/>
                <w:color w:val="000000"/>
                <w:kern w:val="0"/>
                <w:sz w:val="22"/>
                <w:highlight w:val="none"/>
              </w:rPr>
            </w:pPr>
            <w:r>
              <w:rPr>
                <w:rFonts w:hint="eastAsia" w:ascii="彩虹粗仿宋" w:hAnsi="宋体" w:eastAsia="彩虹粗仿宋" w:cs="宋体"/>
                <w:color w:val="000000"/>
                <w:kern w:val="0"/>
                <w:sz w:val="22"/>
                <w:highlight w:val="none"/>
              </w:rPr>
              <w:t>协助做好存量项目（收单商户（人民币、数字人民币、建行生活等）、数字场景、智慧食堂）的运维支持，包含但不限于协助项目日常维护，B端及C端客户的指导与响应、相关综合事务等工作。</w:t>
            </w:r>
          </w:p>
        </w:tc>
      </w:tr>
    </w:tbl>
    <w:p>
      <w:pPr>
        <w:spacing w:line="360" w:lineRule="auto"/>
        <w:ind w:firstLine="562" w:firstLineChars="200"/>
        <w:rPr>
          <w:rFonts w:ascii="彩虹粗仿宋" w:hAnsi="宋体" w:eastAsia="彩虹粗仿宋"/>
          <w:b/>
          <w:color w:val="000000"/>
          <w:sz w:val="28"/>
          <w:szCs w:val="28"/>
          <w:highlight w:val="none"/>
        </w:rPr>
      </w:pPr>
      <w:r>
        <w:rPr>
          <w:rFonts w:hint="eastAsia" w:ascii="彩虹粗仿宋" w:hAnsi="宋体" w:eastAsia="彩虹粗仿宋"/>
          <w:b/>
          <w:color w:val="000000"/>
          <w:sz w:val="28"/>
          <w:szCs w:val="28"/>
          <w:highlight w:val="none"/>
        </w:rPr>
        <w:t>2.POS商户（信用卡部）</w:t>
      </w:r>
    </w:p>
    <w:tbl>
      <w:tblPr>
        <w:tblStyle w:val="5"/>
        <w:tblW w:w="8237" w:type="dxa"/>
        <w:tblInd w:w="93" w:type="dxa"/>
        <w:tblLayout w:type="autofit"/>
        <w:tblCellMar>
          <w:top w:w="0" w:type="dxa"/>
          <w:left w:w="108" w:type="dxa"/>
          <w:bottom w:w="0" w:type="dxa"/>
          <w:right w:w="108" w:type="dxa"/>
        </w:tblCellMar>
      </w:tblPr>
      <w:tblGrid>
        <w:gridCol w:w="1165"/>
        <w:gridCol w:w="1472"/>
        <w:gridCol w:w="5600"/>
      </w:tblGrid>
      <w:tr>
        <w:tblPrEx>
          <w:tblCellMar>
            <w:top w:w="0" w:type="dxa"/>
            <w:left w:w="108" w:type="dxa"/>
            <w:bottom w:w="0" w:type="dxa"/>
            <w:right w:w="108" w:type="dxa"/>
          </w:tblCellMar>
        </w:tblPrEx>
        <w:trPr>
          <w:trHeight w:val="315"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kern w:val="0"/>
                <w:sz w:val="22"/>
                <w:highlight w:val="none"/>
              </w:rPr>
            </w:pPr>
            <w:r>
              <w:rPr>
                <w:rFonts w:hint="eastAsia" w:ascii="彩虹粗仿宋" w:hAnsi="宋体" w:eastAsia="彩虹粗仿宋" w:cs="宋体"/>
                <w:kern w:val="0"/>
                <w:sz w:val="22"/>
                <w:highlight w:val="none"/>
              </w:rPr>
              <w:t>项目大类</w:t>
            </w:r>
          </w:p>
        </w:tc>
        <w:tc>
          <w:tcPr>
            <w:tcW w:w="14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kern w:val="0"/>
                <w:sz w:val="22"/>
                <w:highlight w:val="none"/>
              </w:rPr>
            </w:pPr>
            <w:r>
              <w:rPr>
                <w:rFonts w:hint="eastAsia" w:ascii="彩虹粗仿宋" w:hAnsi="宋体" w:eastAsia="彩虹粗仿宋" w:cs="宋体"/>
                <w:kern w:val="0"/>
                <w:sz w:val="22"/>
                <w:highlight w:val="none"/>
              </w:rPr>
              <w:t>工作大类</w:t>
            </w:r>
          </w:p>
        </w:tc>
        <w:tc>
          <w:tcPr>
            <w:tcW w:w="5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kern w:val="0"/>
                <w:sz w:val="22"/>
                <w:highlight w:val="none"/>
              </w:rPr>
            </w:pPr>
            <w:r>
              <w:rPr>
                <w:rFonts w:hint="eastAsia" w:ascii="彩虹粗仿宋" w:hAnsi="宋体" w:eastAsia="彩虹粗仿宋" w:cs="宋体"/>
                <w:kern w:val="0"/>
                <w:sz w:val="22"/>
                <w:highlight w:val="none"/>
              </w:rPr>
              <w:t>工作事项</w:t>
            </w:r>
          </w:p>
        </w:tc>
      </w:tr>
      <w:tr>
        <w:tblPrEx>
          <w:tblCellMar>
            <w:top w:w="0" w:type="dxa"/>
            <w:left w:w="108" w:type="dxa"/>
            <w:bottom w:w="0" w:type="dxa"/>
            <w:right w:w="108" w:type="dxa"/>
          </w:tblCellMar>
        </w:tblPrEx>
        <w:trPr>
          <w:trHeight w:val="2625" w:hRule="atLeast"/>
        </w:trPr>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彩虹粗仿宋" w:hAnsi="宋体" w:eastAsia="彩虹粗仿宋" w:cs="宋体"/>
                <w:kern w:val="0"/>
                <w:sz w:val="22"/>
                <w:highlight w:val="none"/>
              </w:rPr>
            </w:pPr>
            <w:r>
              <w:rPr>
                <w:rFonts w:hint="eastAsia" w:ascii="彩虹粗仿宋" w:hAnsi="宋体" w:eastAsia="彩虹粗仿宋" w:cs="宋体"/>
                <w:kern w:val="0"/>
                <w:sz w:val="22"/>
                <w:highlight w:val="none"/>
              </w:rPr>
              <w:t>商户运维</w:t>
            </w:r>
          </w:p>
        </w:tc>
        <w:tc>
          <w:tcPr>
            <w:tcW w:w="1472" w:type="dxa"/>
            <w:tcBorders>
              <w:top w:val="nil"/>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kern w:val="0"/>
                <w:sz w:val="22"/>
                <w:highlight w:val="none"/>
              </w:rPr>
            </w:pPr>
            <w:r>
              <w:rPr>
                <w:rFonts w:hint="eastAsia" w:ascii="彩虹粗仿宋" w:hAnsi="宋体" w:eastAsia="彩虹粗仿宋" w:cs="宋体"/>
                <w:kern w:val="0"/>
                <w:sz w:val="22"/>
                <w:highlight w:val="none"/>
              </w:rPr>
              <w:t>POS商户运维服务</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kern w:val="0"/>
                <w:sz w:val="22"/>
                <w:highlight w:val="none"/>
              </w:rPr>
            </w:pPr>
            <w:r>
              <w:rPr>
                <w:rFonts w:hint="eastAsia" w:ascii="彩虹粗仿宋" w:hAnsi="宋体" w:eastAsia="彩虹粗仿宋" w:cs="宋体"/>
                <w:color w:val="000000"/>
                <w:kern w:val="0"/>
                <w:sz w:val="22"/>
                <w:highlight w:val="none"/>
              </w:rPr>
              <w:t>包含但不限于</w:t>
            </w:r>
            <w:r>
              <w:rPr>
                <w:rFonts w:hint="eastAsia" w:ascii="彩虹粗仿宋" w:hAnsi="宋体" w:eastAsia="彩虹粗仿宋" w:cs="宋体"/>
                <w:kern w:val="0"/>
                <w:sz w:val="22"/>
                <w:highlight w:val="none"/>
              </w:rPr>
              <w:t>（1）协助配送与激活收单工具；（2）商户培训、认证；（3）收单工具系统升级；（4）商户咨询、机具故障响应；（5）商户巡查回访；（6）设备更换回收；（7）POS用纸、流量卡等耗材配送；（8）新增及存量外卡、数币商户专项运维；（9）码签牌、外卡、数币台牌布放；（10）POS机具更新外卡受理标识；(11)宣传物料摆放等；（12）疑似经营异常商户上门勘察；（13）新开户商户回访；（14）协助低效机具上门回收等。</w:t>
            </w:r>
          </w:p>
        </w:tc>
      </w:tr>
      <w:tr>
        <w:tblPrEx>
          <w:tblCellMar>
            <w:top w:w="0" w:type="dxa"/>
            <w:left w:w="108" w:type="dxa"/>
            <w:bottom w:w="0" w:type="dxa"/>
            <w:right w:w="108" w:type="dxa"/>
          </w:tblCellMar>
        </w:tblPrEx>
        <w:trPr>
          <w:trHeight w:val="2775" w:hRule="atLeast"/>
        </w:trPr>
        <w:tc>
          <w:tcPr>
            <w:tcW w:w="11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彩虹粗仿宋" w:hAnsi="宋体" w:eastAsia="彩虹粗仿宋" w:cs="宋体"/>
                <w:kern w:val="0"/>
                <w:sz w:val="22"/>
                <w:highlight w:val="none"/>
              </w:rPr>
            </w:pP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kern w:val="0"/>
                <w:sz w:val="22"/>
                <w:highlight w:val="none"/>
              </w:rPr>
            </w:pPr>
            <w:r>
              <w:rPr>
                <w:rFonts w:hint="eastAsia" w:ascii="彩虹粗仿宋" w:hAnsi="宋体" w:eastAsia="彩虹粗仿宋" w:cs="宋体"/>
                <w:kern w:val="0"/>
                <w:sz w:val="22"/>
                <w:highlight w:val="none"/>
              </w:rPr>
              <w:t>商户综合事务</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彩虹粗仿宋" w:hAnsi="宋体" w:eastAsia="彩虹粗仿宋" w:cs="宋体"/>
                <w:kern w:val="0"/>
                <w:sz w:val="22"/>
                <w:highlight w:val="none"/>
              </w:rPr>
            </w:pPr>
            <w:r>
              <w:rPr>
                <w:rFonts w:hint="eastAsia" w:ascii="彩虹粗仿宋" w:hAnsi="宋体" w:eastAsia="彩虹粗仿宋" w:cs="宋体"/>
                <w:color w:val="000000"/>
                <w:kern w:val="0"/>
                <w:sz w:val="22"/>
                <w:highlight w:val="none"/>
              </w:rPr>
              <w:t>包含但不限于</w:t>
            </w:r>
            <w:r>
              <w:rPr>
                <w:rFonts w:hint="eastAsia" w:ascii="彩虹粗仿宋" w:hAnsi="宋体" w:eastAsia="彩虹粗仿宋" w:cs="宋体"/>
                <w:kern w:val="0"/>
                <w:sz w:val="22"/>
                <w:highlight w:val="none"/>
              </w:rPr>
              <w:t>（1）协助分行管理人员出入库、清点、整理收单工具；（2）协助与支行交接收单工具（POS机、码牌）；（3）协助与广告公司对接码签牌的制作、接收、清点、核对；（4）协助与外勤安装人员核对装机、撤机、维护等纸质回执；（5）协助商户服务商工作台装机、撤机、维护、巡查等工单调配、整理、抽查；（6）协助处理低效机具回收、机具赔偿相关工作；（7）协助支行、巡查人员的日常咨询服务；（8）协助异常巡查工单（关店、地址变更）及时通知支行及后续跟踪处理，登记相关业务台帐；（9）协助跟踪重点名录及重点行业商户使用情况；（10）协助跟踪商户的日常交易情况，对于存在异常交易波动的关注类商户，及时联系经办支行对可疑交易进行监测、处置等；（11）协助商户资料整理、归档，协助商户合规整改等跟踪处理；（12）协助数币、外卡商户日常维护；（13）协助各类商户运维服务、商户综合事务对接等。</w:t>
            </w:r>
          </w:p>
        </w:tc>
      </w:tr>
    </w:tbl>
    <w:p>
      <w:pPr>
        <w:spacing w:line="360" w:lineRule="auto"/>
        <w:ind w:firstLine="562" w:firstLineChars="200"/>
        <w:rPr>
          <w:rFonts w:ascii="彩虹粗仿宋" w:hAnsi="彩虹粗仿宋" w:eastAsia="彩虹粗仿宋" w:cs="彩虹粗仿宋"/>
          <w:b/>
          <w:sz w:val="28"/>
          <w:szCs w:val="28"/>
          <w:highlight w:val="none"/>
        </w:rPr>
      </w:pPr>
      <w:r>
        <w:rPr>
          <w:rFonts w:hint="eastAsia" w:ascii="彩虹粗仿宋" w:hAnsi="彩虹粗仿宋" w:eastAsia="彩虹粗仿宋" w:cs="彩虹粗仿宋"/>
          <w:b/>
          <w:sz w:val="28"/>
          <w:szCs w:val="28"/>
          <w:highlight w:val="none"/>
        </w:rPr>
        <w:t>四、服务团队</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聚合支付商户与数字场景建设及POS商户运维外包业务均要求在厦门建行驻场服务，</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中标</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供应商应配置与</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商户运维外包工作量匹配的专业服务团队及人员。</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（一）聚合支付商户与数字场景建设团队</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要求配置专属服务团队，除运维服务外的其他服务人员（含项目经理）需驻场服务：</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1．</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中标</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供应商需配备1名项目经理</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项目经理学历应为大专及以上学历，具有至少两年及以上的商户运维服务管理经验，具备一定的会计和电脑知识。原则上项目经理未经</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同意不可调换,若要更换</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须向</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提出书面申请</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替换的人员应为本公司员工且资质</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水平</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不得低于原派出人员。</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2．服务团队最低人数及基本素质要求</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聚合支付商户与数字场景建设配备的专属服务团队不少于22人，其中商户运维服务不少于8人，商户综合事务及商户辅导支持不少于14人。优先选择具备商户运维服务经验的。</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（1）商户运维服务至少8人，应具备商户日常维护、服务响应的能力。</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（2）商户综合事务及商户辅导支持至少14人，具备计算机excel、word等相关技能，如因产假、婚假、病假、事假等原因离岗天数大于10个工作日的，</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需提前10个工作日补充符合招标人要求的服务人员到位，确保后台响应与支持事务顺利进行。基本素质要求具备大专及以上学历，其中聚合支付商户至少6人，基本素质要求需有与客户沟通交流的耐心、针对客户需求给予回应的细心等相应服务内容的技能，有相关</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工作</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经验及能够配合周末、节假日调班。数字场景建设至少6人，需有营销活动策划与方案设计、宣传软文制作或海报页面设计或宣传视频剪辑等相应服务内容的经验或专业背景。商户辅导支持至少2人，基本素质要求具备</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大专</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及以上学历，计算机相关专业教育背景、具备支付接口对接开发相关的知识或经验。</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（二）POS商户运维团队</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要求配置与</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POS商户规模匹配的服务队伍，内勤驻场人员需为</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提供专属服务：</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1.项目经理要求</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中标</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供应商需配备1名POS商户项目经理。学历应为大专及以上学历，具有至少两年及以上的商户运维服务管理经验，具备一定的会计和电脑知识。原则上项目经理未经</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同意不可调换</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若要更换,须向</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提出书面申请</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替换的人员应为本公司员工且资质</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水平</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不得低于原派出人员。</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2．服务团队最低人数及基本素质要求</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POS商户运维服务配备的专属服务团队不少于16人，其中POS商户运维服务人员不少于12人，商户综合事务人员不少于4人。</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（1）POS商户运维服务人员应具备POS终端机具故障解决、服务响应能力，人员队伍应相对稳定；指定一名专职人员负责与</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进行POS运维业务对接、报表统计等工作。</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（2）商户综合事务人员应为</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提供专属服务，具备大专及以上学历，具备计算机excel、word等相关技能，如因产假、婚假、病假、事假等原因离岗天数大于10个工作日的，</w:t>
      </w:r>
      <w:r>
        <w:rPr>
          <w:rFonts w:hint="eastAsia" w:ascii="彩虹粗仿宋" w:hAnsi="彩虹粗仿宋" w:eastAsia="彩虹粗仿宋" w:cs="彩虹粗仿宋"/>
          <w:color w:val="000000" w:themeColor="text1"/>
          <w:kern w:val="0"/>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需提前10个工作日补充符合</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要求的内勤人员到位，确保运维内勤事务顺利进行。</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（三）服务团队其他要求：</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1.</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应储备2名以上熟练的作业操作人员（不可同时担任业务主管或项目经理），在工作高峰期和人员发生流动时及时增补到相关岗位，确保</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业务顺利开展。</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2.</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应为本项目提供服务的工作人员缴交养老、工伤、生育、失业、医疗、公积金等社会保险。工作人工资待遇应在厦门市劳动力市场上有一定的竞争力，以保证人员稳定，撤换团队人员必须经行方人员同意。</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3.</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承担作业人员人身安全责任。</w:t>
      </w:r>
    </w:p>
    <w:p>
      <w:pPr>
        <w:spacing w:line="360" w:lineRule="auto"/>
        <w:ind w:firstLine="560" w:firstLineChars="200"/>
        <w:rPr>
          <w:rFonts w:ascii="彩虹粗仿宋" w:hAnsi="彩虹粗仿宋" w:eastAsia="彩虹粗仿宋" w:cs="彩虹粗仿宋"/>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4.</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应制定工作人员管理制度，并报</w:t>
      </w:r>
      <w:r>
        <w:rPr>
          <w:rFonts w:hint="eastAsia" w:ascii="彩虹粗仿宋" w:hAnsi="彩虹粗仿宋" w:eastAsia="彩虹粗仿宋" w:cs="彩虹粗仿宋"/>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kern w:val="0"/>
          <w:sz w:val="28"/>
          <w:szCs w:val="28"/>
          <w:highlight w:val="none"/>
          <w14:textFill>
            <w14:solidFill>
              <w14:schemeClr w14:val="tx1"/>
            </w14:solidFill>
          </w14:textFill>
        </w:rPr>
        <w:t>备案。</w:t>
      </w:r>
    </w:p>
    <w:p>
      <w:pPr>
        <w:spacing w:line="360" w:lineRule="auto"/>
        <w:ind w:firstLine="562" w:firstLineChars="200"/>
        <w:rPr>
          <w:rFonts w:ascii="彩虹粗仿宋" w:hAnsi="彩虹粗仿宋" w:eastAsia="彩虹粗仿宋" w:cs="彩虹粗仿宋"/>
          <w:b/>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b/>
          <w:snapToGrid w:val="0"/>
          <w:color w:val="000000" w:themeColor="text1"/>
          <w:kern w:val="0"/>
          <w:sz w:val="28"/>
          <w:szCs w:val="28"/>
          <w:highlight w:val="none"/>
          <w14:textFill>
            <w14:solidFill>
              <w14:schemeClr w14:val="tx1"/>
            </w14:solidFill>
          </w14:textFill>
        </w:rPr>
        <w:t>五、服务质量要求</w:t>
      </w:r>
    </w:p>
    <w:p>
      <w:pPr>
        <w:autoSpaceDE w:val="0"/>
        <w:autoSpaceDN w:val="0"/>
        <w:adjustRightInd w:val="0"/>
        <w:spacing w:line="360" w:lineRule="auto"/>
        <w:ind w:firstLine="480"/>
        <w:rPr>
          <w:rFonts w:ascii="彩虹粗仿宋" w:hAnsi="彩虹粗仿宋" w:eastAsia="彩虹粗仿宋" w:cs="彩虹粗仿宋"/>
          <w:b/>
          <w:bCs/>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b/>
          <w:bCs/>
          <w:color w:val="000000" w:themeColor="text1"/>
          <w:sz w:val="28"/>
          <w:szCs w:val="28"/>
          <w:highlight w:val="none"/>
          <w14:textFill>
            <w14:solidFill>
              <w14:schemeClr w14:val="tx1"/>
            </w14:solidFill>
          </w14:textFill>
        </w:rPr>
        <w:t>（一）工作质量管理要求</w:t>
      </w:r>
    </w:p>
    <w:p>
      <w:pPr>
        <w:spacing w:line="360" w:lineRule="auto"/>
        <w:ind w:firstLine="560" w:firstLineChars="200"/>
        <w:rPr>
          <w:rFonts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rPr>
        <w:t>1. 为保证</w:t>
      </w:r>
      <w:r>
        <w:rPr>
          <w:rFonts w:hint="eastAsia" w:ascii="彩虹粗仿宋" w:hAnsi="彩虹粗仿宋" w:eastAsia="彩虹粗仿宋" w:cs="彩虹粗仿宋"/>
          <w:sz w:val="28"/>
          <w:szCs w:val="28"/>
          <w:highlight w:val="none"/>
          <w:lang w:eastAsia="zh-CN"/>
        </w:rPr>
        <w:t>招标人</w:t>
      </w:r>
      <w:r>
        <w:rPr>
          <w:rFonts w:hint="eastAsia" w:ascii="彩虹粗仿宋" w:hAnsi="彩虹粗仿宋" w:eastAsia="彩虹粗仿宋" w:cs="彩虹粗仿宋"/>
          <w:sz w:val="28"/>
          <w:szCs w:val="28"/>
          <w:highlight w:val="none"/>
        </w:rPr>
        <w:t>商户信息安全，</w:t>
      </w:r>
      <w:r>
        <w:rPr>
          <w:rFonts w:hint="eastAsia" w:ascii="彩虹粗仿宋" w:hAnsi="彩虹粗仿宋" w:eastAsia="彩虹粗仿宋" w:cs="彩虹粗仿宋"/>
          <w:sz w:val="28"/>
          <w:szCs w:val="28"/>
          <w:highlight w:val="none"/>
          <w:lang w:eastAsia="zh-CN"/>
        </w:rPr>
        <w:t>中标供应商</w:t>
      </w:r>
      <w:r>
        <w:rPr>
          <w:rFonts w:hint="eastAsia" w:ascii="彩虹粗仿宋" w:hAnsi="彩虹粗仿宋" w:eastAsia="彩虹粗仿宋" w:cs="彩虹粗仿宋"/>
          <w:sz w:val="28"/>
          <w:szCs w:val="28"/>
          <w:highlight w:val="none"/>
        </w:rPr>
        <w:t>应使用</w:t>
      </w:r>
      <w:r>
        <w:rPr>
          <w:rFonts w:hint="eastAsia" w:ascii="彩虹粗仿宋" w:hAnsi="彩虹粗仿宋" w:eastAsia="彩虹粗仿宋" w:cs="彩虹粗仿宋"/>
          <w:sz w:val="28"/>
          <w:szCs w:val="28"/>
          <w:highlight w:val="none"/>
          <w:lang w:eastAsia="zh-CN"/>
        </w:rPr>
        <w:t>招标人</w:t>
      </w:r>
      <w:r>
        <w:rPr>
          <w:rFonts w:hint="eastAsia" w:ascii="彩虹粗仿宋" w:hAnsi="彩虹粗仿宋" w:eastAsia="彩虹粗仿宋" w:cs="彩虹粗仿宋"/>
          <w:sz w:val="28"/>
          <w:szCs w:val="28"/>
          <w:highlight w:val="none"/>
        </w:rPr>
        <w:t>指定且拥有自主知识产权、已完成与</w:t>
      </w:r>
      <w:r>
        <w:rPr>
          <w:rFonts w:hint="eastAsia" w:ascii="彩虹粗仿宋" w:hAnsi="彩虹粗仿宋" w:eastAsia="彩虹粗仿宋" w:cs="彩虹粗仿宋"/>
          <w:sz w:val="28"/>
          <w:szCs w:val="28"/>
          <w:highlight w:val="none"/>
          <w:lang w:eastAsia="zh-CN"/>
        </w:rPr>
        <w:t>招标人</w:t>
      </w:r>
      <w:r>
        <w:rPr>
          <w:rFonts w:hint="eastAsia" w:ascii="彩虹粗仿宋" w:hAnsi="彩虹粗仿宋" w:eastAsia="彩虹粗仿宋" w:cs="彩虹粗仿宋"/>
          <w:sz w:val="28"/>
          <w:szCs w:val="28"/>
          <w:highlight w:val="none"/>
        </w:rPr>
        <w:t>商户业务系统联接的运维服务系统。</w:t>
      </w:r>
    </w:p>
    <w:p>
      <w:pPr>
        <w:autoSpaceDE w:val="0"/>
        <w:autoSpaceDN w:val="0"/>
        <w:adjustRightInd w:val="0"/>
        <w:spacing w:line="360" w:lineRule="auto"/>
        <w:ind w:firstLine="48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2.</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按照本项目合同约定的服务内容和服务要求按时向</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提供合格的服务；制定和建立突发事件应急预案和机制，及时通报</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突发性事件，通过采取替代方案等措施，确保</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商户运维服务的正常开展；服务期内</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有义务对所提供的服务按照</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要求不断调整，以达到服务的优化。</w:t>
      </w:r>
    </w:p>
    <w:p>
      <w:pPr>
        <w:autoSpaceDE w:val="0"/>
        <w:autoSpaceDN w:val="0"/>
        <w:adjustRightInd w:val="0"/>
        <w:spacing w:line="360" w:lineRule="auto"/>
        <w:ind w:firstLine="48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3.</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负责制定完善的内部管理体系</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包括内部考勤考核机制、各项业务的数据统计与台账登记制度等，并提供有效的工作量凭据，规范提交《中国建设银行厦门市分行商户维护服务工作台账》。</w:t>
      </w:r>
    </w:p>
    <w:p>
      <w:pPr>
        <w:autoSpaceDE w:val="0"/>
        <w:autoSpaceDN w:val="0"/>
        <w:adjustRightInd w:val="0"/>
        <w:spacing w:line="360" w:lineRule="auto"/>
        <w:ind w:firstLine="48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4.</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负责提供商户响应渠道，提供满足应急处理与日常维护的全天候服务支持。需在指定时间要求内妥善完成银行发出的装撤机、终端升级、机具更换、统一贴码等指令。</w:t>
      </w:r>
    </w:p>
    <w:p>
      <w:pPr>
        <w:autoSpaceDE w:val="0"/>
        <w:autoSpaceDN w:val="0"/>
        <w:adjustRightInd w:val="0"/>
        <w:spacing w:line="360" w:lineRule="auto"/>
        <w:ind w:firstLine="48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5.</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应制定工作质量管理制度包括商户运维服务、后台响应与支持、商户辅导工作的管理要求以及实施方案，包含但不限于工作开展的计划、运作模式、实施方案、管理模式及日常工作考核等，并报</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备案。</w:t>
      </w:r>
    </w:p>
    <w:p>
      <w:pPr>
        <w:autoSpaceDE w:val="0"/>
        <w:autoSpaceDN w:val="0"/>
        <w:adjustRightInd w:val="0"/>
        <w:spacing w:line="360" w:lineRule="auto"/>
        <w:ind w:firstLine="48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6. 根据</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要求制定巡查回访计划，在指定的频率周期内定期回访商户，检查各类受理终端使用情况、商户经营情况等，发现风险及时向建行提示，应提供包括但不限于运作模式、巡查回访计划安排、人员配比、风险处置等。</w:t>
      </w:r>
    </w:p>
    <w:p>
      <w:pPr>
        <w:autoSpaceDE w:val="0"/>
        <w:autoSpaceDN w:val="0"/>
        <w:adjustRightInd w:val="0"/>
        <w:spacing w:line="360" w:lineRule="auto"/>
        <w:ind w:firstLine="48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 xml:space="preserve">7. </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应按</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制定的运维服务工单规范要求，</w:t>
      </w:r>
      <w:r>
        <w:rPr>
          <w:rFonts w:ascii="彩虹粗仿宋" w:hAnsi="彩虹粗仿宋" w:eastAsia="彩虹粗仿宋" w:cs="彩虹粗仿宋"/>
          <w:color w:val="000000" w:themeColor="text1"/>
          <w:sz w:val="28"/>
          <w:szCs w:val="28"/>
          <w:highlight w:val="none"/>
          <w14:textFill>
            <w14:solidFill>
              <w14:schemeClr w14:val="tx1"/>
            </w14:solidFill>
          </w14:textFill>
        </w:rPr>
        <w:t>T+1</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个工作日内完成运维服务工单的审核，并登记各项运维工单业务台账。</w:t>
      </w:r>
    </w:p>
    <w:p>
      <w:pPr>
        <w:autoSpaceDE w:val="0"/>
        <w:autoSpaceDN w:val="0"/>
        <w:adjustRightInd w:val="0"/>
        <w:spacing w:line="360" w:lineRule="auto"/>
        <w:ind w:firstLine="48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8. 商户运维服务团队需配备有效解决各类故障的技术团队，提供 7×24 小时的客服电话服务，及时通过电话、线上或到达现场，在</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时限要求内解决商户在设备使用过程中的咨询解答、故障受理、上门维修、耗材配送等服务需求。无法解决问题的，需与商户约定维护方案并反馈</w:t>
      </w:r>
      <w:r>
        <w:rPr>
          <w:rFonts w:hint="eastAsia" w:ascii="彩虹粗仿宋" w:hAnsi="彩虹粗仿宋" w:eastAsia="彩虹粗仿宋" w:cs="彩虹粗仿宋"/>
          <w:color w:val="000000" w:themeColor="text1"/>
          <w:sz w:val="28"/>
          <w:szCs w:val="28"/>
          <w:highlight w:val="none"/>
          <w:lang w:val="en-US"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。对于需现场解决的维护需求，实行限时服务制度，岛内商户2小时内上门响应解决，重点商户1小时内上门响应解决，岛外商户4个小时内上门响应解决。对于特约商户的维护需求，</w:t>
      </w:r>
      <w:r>
        <w:rPr>
          <w:rFonts w:hint="eastAsia" w:ascii="彩虹粗仿宋" w:hAnsi="彩虹粗仿宋" w:eastAsia="彩虹粗仿宋" w:cs="彩虹粗仿宋"/>
          <w:color w:val="000000" w:themeColor="text1"/>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应妥善、及时响应，不得引起商户不满导致投诉。</w:t>
      </w:r>
    </w:p>
    <w:p>
      <w:pPr>
        <w:autoSpaceDE w:val="0"/>
        <w:autoSpaceDN w:val="0"/>
        <w:adjustRightInd w:val="0"/>
        <w:spacing w:line="360" w:lineRule="auto"/>
        <w:ind w:firstLine="480"/>
        <w:rPr>
          <w:rFonts w:ascii="彩虹粗仿宋" w:hAnsi="彩虹粗仿宋" w:eastAsia="彩虹粗仿宋" w:cs="彩虹粗仿宋"/>
          <w:b/>
          <w:bCs/>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b/>
          <w:bCs/>
          <w:color w:val="000000" w:themeColor="text1"/>
          <w:sz w:val="28"/>
          <w:szCs w:val="28"/>
          <w:highlight w:val="none"/>
          <w14:textFill>
            <w14:solidFill>
              <w14:schemeClr w14:val="tx1"/>
            </w14:solidFill>
          </w14:textFill>
        </w:rPr>
        <w:t>（二）日常管理要求</w:t>
      </w:r>
    </w:p>
    <w:p>
      <w:pPr>
        <w:spacing w:line="360" w:lineRule="auto"/>
        <w:ind w:firstLine="560" w:firstLineChars="20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1.</w:t>
      </w:r>
      <w:r>
        <w:rPr>
          <w:rFonts w:hint="eastAsia" w:ascii="彩虹粗仿宋" w:hAnsi="彩虹粗仿宋" w:eastAsia="彩虹粗仿宋" w:cs="彩虹粗仿宋"/>
          <w:color w:val="000000" w:themeColor="text1"/>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负责向工作人员提供统一着装及工牌，不可穿着短裤、牛仔服、拖鞋等，服装款式需经</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认可。</w:t>
      </w:r>
    </w:p>
    <w:p>
      <w:pPr>
        <w:spacing w:line="360" w:lineRule="auto"/>
        <w:ind w:firstLine="560" w:firstLineChars="20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2.在</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工作场所作业的，应在符合物理隔离要求后开展。</w:t>
      </w:r>
      <w:r>
        <w:rPr>
          <w:rFonts w:hint="eastAsia" w:ascii="彩虹粗仿宋" w:hAnsi="彩虹粗仿宋" w:eastAsia="彩虹粗仿宋" w:cs="彩虹粗仿宋"/>
          <w:color w:val="000000" w:themeColor="text1"/>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作业人员不得携带书包、手机、移动存储设备进入</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工作区，并按要求放置指定存放地点。不得通过纸质和电子媒介打印、下载并外携任何银行资料信息；非上班时间不得在办公场所停留；所有业务处理过程必须在有效监控范围内进行。</w:t>
      </w:r>
    </w:p>
    <w:p>
      <w:pPr>
        <w:spacing w:line="360" w:lineRule="auto"/>
        <w:ind w:firstLine="560" w:firstLineChars="20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3.在</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工作场所作业的</w:t>
      </w:r>
      <w:r>
        <w:rPr>
          <w:rFonts w:hint="eastAsia" w:ascii="彩虹粗仿宋" w:hAnsi="彩虹粗仿宋" w:eastAsia="彩虹粗仿宋" w:cs="彩虹粗仿宋"/>
          <w:color w:val="000000" w:themeColor="text1"/>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作业人员需按</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作息要求、场地管理和就餐等相关制度。除了在与工作有关的楼层及食堂所在楼层出入外，未经</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同意不得随意出入其他楼层，未经</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同意不得带他人进入工作场所及大楼。</w:t>
      </w:r>
    </w:p>
    <w:p>
      <w:pPr>
        <w:spacing w:line="360" w:lineRule="auto"/>
        <w:ind w:firstLine="560" w:firstLineChars="20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4.</w:t>
      </w:r>
      <w:r>
        <w:rPr>
          <w:rFonts w:hint="eastAsia" w:ascii="彩虹粗仿宋" w:hAnsi="彩虹粗仿宋" w:eastAsia="彩虹粗仿宋" w:cs="彩虹粗仿宋"/>
          <w:color w:val="000000" w:themeColor="text1"/>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应制定外包人员日常管理规定，并报</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备案。</w:t>
      </w:r>
    </w:p>
    <w:p>
      <w:pPr>
        <w:spacing w:line="360" w:lineRule="auto"/>
        <w:ind w:firstLine="562" w:firstLineChars="200"/>
        <w:rPr>
          <w:rFonts w:ascii="彩虹粗仿宋" w:hAnsi="彩虹粗仿宋" w:eastAsia="彩虹粗仿宋" w:cs="彩虹粗仿宋"/>
          <w:b/>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b/>
          <w:snapToGrid w:val="0"/>
          <w:color w:val="000000" w:themeColor="text1"/>
          <w:kern w:val="0"/>
          <w:sz w:val="28"/>
          <w:szCs w:val="28"/>
          <w:highlight w:val="none"/>
          <w14:textFill>
            <w14:solidFill>
              <w14:schemeClr w14:val="tx1"/>
            </w14:solidFill>
          </w14:textFill>
        </w:rPr>
        <w:t>六、服务数量要求</w:t>
      </w:r>
    </w:p>
    <w:p>
      <w:pPr>
        <w:spacing w:line="360" w:lineRule="auto"/>
        <w:ind w:firstLine="425" w:firstLineChars="152"/>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（一）签订框架性协议，合同期限为2026年9月1日至2028年8月31日，根据实际业务发生</w:t>
      </w:r>
      <w:r>
        <w:rPr>
          <w:rFonts w:hint="eastAsia" w:ascii="彩虹粗仿宋" w:hAnsi="彩虹粗仿宋" w:eastAsia="彩虹粗仿宋" w:cs="彩虹粗仿宋"/>
          <w:sz w:val="28"/>
          <w:szCs w:val="28"/>
          <w:highlight w:val="none"/>
        </w:rPr>
        <w:t>据实结算</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w:t>
      </w:r>
    </w:p>
    <w:p>
      <w:pPr>
        <w:spacing w:line="360" w:lineRule="auto"/>
        <w:ind w:firstLine="425" w:firstLineChars="152"/>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（二）项目工作量测算如下：</w:t>
      </w:r>
    </w:p>
    <w:p>
      <w:pPr>
        <w:spacing w:line="360" w:lineRule="auto"/>
        <w:ind w:firstLine="562" w:firstLineChars="200"/>
        <w:rPr>
          <w:rFonts w:ascii="彩虹粗仿宋" w:hAnsi="宋体" w:eastAsia="彩虹粗仿宋"/>
          <w:b/>
          <w:color w:val="000000" w:themeColor="text1"/>
          <w:sz w:val="28"/>
          <w:szCs w:val="28"/>
          <w:highlight w:val="none"/>
          <w14:textFill>
            <w14:solidFill>
              <w14:schemeClr w14:val="tx1"/>
            </w14:solidFill>
          </w14:textFill>
        </w:rPr>
      </w:pPr>
      <w:r>
        <w:rPr>
          <w:rFonts w:hint="eastAsia" w:ascii="彩虹粗仿宋" w:hAnsi="宋体" w:eastAsia="彩虹粗仿宋"/>
          <w:b/>
          <w:color w:val="000000" w:themeColor="text1"/>
          <w:sz w:val="28"/>
          <w:szCs w:val="28"/>
          <w:highlight w:val="none"/>
          <w14:textFill>
            <w14:solidFill>
              <w14:schemeClr w14:val="tx1"/>
            </w14:solidFill>
          </w14:textFill>
        </w:rPr>
        <w:t>1.</w:t>
      </w:r>
      <w:r>
        <w:rPr>
          <w:rFonts w:hint="eastAsia" w:ascii="彩虹粗仿宋" w:eastAsia="彩虹粗仿宋"/>
          <w:sz w:val="28"/>
          <w:szCs w:val="28"/>
          <w:highlight w:val="none"/>
        </w:rPr>
        <w:t xml:space="preserve"> </w:t>
      </w:r>
      <w:r>
        <w:rPr>
          <w:rFonts w:hint="eastAsia" w:ascii="彩虹粗仿宋" w:hAnsi="宋体" w:eastAsia="彩虹粗仿宋"/>
          <w:b/>
          <w:color w:val="000000" w:themeColor="text1"/>
          <w:sz w:val="28"/>
          <w:szCs w:val="28"/>
          <w:highlight w:val="none"/>
          <w14:textFill>
            <w14:solidFill>
              <w14:schemeClr w14:val="tx1"/>
            </w14:solidFill>
          </w14:textFill>
        </w:rPr>
        <w:t>聚合支付商户与数字场景建设每年费用不超过358万元，项目总费用预算不超过716万元。</w:t>
      </w:r>
    </w:p>
    <w:tbl>
      <w:tblPr>
        <w:tblStyle w:val="5"/>
        <w:tblW w:w="8033" w:type="dxa"/>
        <w:tblInd w:w="155" w:type="dxa"/>
        <w:tblLayout w:type="fixed"/>
        <w:tblCellMar>
          <w:top w:w="0" w:type="dxa"/>
          <w:left w:w="108" w:type="dxa"/>
          <w:bottom w:w="0" w:type="dxa"/>
          <w:right w:w="108" w:type="dxa"/>
        </w:tblCellMar>
      </w:tblPr>
      <w:tblGrid>
        <w:gridCol w:w="1246"/>
        <w:gridCol w:w="1903"/>
        <w:gridCol w:w="1724"/>
        <w:gridCol w:w="1409"/>
        <w:gridCol w:w="1751"/>
      </w:tblGrid>
      <w:tr>
        <w:tblPrEx>
          <w:tblCellMar>
            <w:top w:w="0" w:type="dxa"/>
            <w:left w:w="108" w:type="dxa"/>
            <w:bottom w:w="0" w:type="dxa"/>
            <w:right w:w="108" w:type="dxa"/>
          </w:tblCellMar>
        </w:tblPrEx>
        <w:trPr>
          <w:trHeight w:val="564" w:hRule="atLeast"/>
        </w:trPr>
        <w:tc>
          <w:tcPr>
            <w:tcW w:w="8033"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b/>
                <w:bCs/>
                <w:color w:val="000000"/>
                <w:kern w:val="0"/>
                <w:sz w:val="24"/>
                <w:szCs w:val="24"/>
                <w:highlight w:val="none"/>
              </w:rPr>
            </w:pPr>
            <w:r>
              <w:rPr>
                <w:rFonts w:hint="eastAsia" w:ascii="彩虹粗仿宋" w:hAnsi="彩虹粗仿宋" w:eastAsia="彩虹粗仿宋" w:cs="彩虹粗仿宋"/>
                <w:b/>
                <w:bCs/>
                <w:color w:val="000000"/>
                <w:kern w:val="0"/>
                <w:sz w:val="24"/>
                <w:szCs w:val="24"/>
                <w:highlight w:val="none"/>
              </w:rPr>
              <w:t>2026-2028年度商户运维服务外包项目预算情况</w:t>
            </w:r>
            <w:r>
              <w:rPr>
                <w:rFonts w:hint="eastAsia" w:ascii="彩虹粗仿宋" w:hAnsi="彩虹粗仿宋" w:eastAsia="彩虹粗仿宋" w:cs="彩虹粗仿宋"/>
                <w:b/>
                <w:bCs/>
                <w:color w:val="000000"/>
                <w:kern w:val="0"/>
                <w:sz w:val="24"/>
                <w:szCs w:val="24"/>
                <w:highlight w:val="none"/>
              </w:rPr>
              <w:br w:type="textWrapping"/>
            </w:r>
            <w:r>
              <w:rPr>
                <w:rFonts w:hint="eastAsia" w:ascii="彩虹粗仿宋" w:hAnsi="彩虹粗仿宋" w:eastAsia="彩虹粗仿宋" w:cs="彩虹粗仿宋"/>
                <w:b/>
                <w:bCs/>
                <w:color w:val="000000"/>
                <w:kern w:val="0"/>
                <w:sz w:val="24"/>
                <w:szCs w:val="24"/>
                <w:highlight w:val="none"/>
              </w:rPr>
              <w:t>（单位：次，元/次，万/年）</w:t>
            </w:r>
          </w:p>
        </w:tc>
      </w:tr>
      <w:tr>
        <w:tblPrEx>
          <w:tblCellMar>
            <w:top w:w="0" w:type="dxa"/>
            <w:left w:w="108" w:type="dxa"/>
            <w:bottom w:w="0" w:type="dxa"/>
            <w:right w:w="108" w:type="dxa"/>
          </w:tblCellMar>
        </w:tblPrEx>
        <w:trPr>
          <w:trHeight w:val="325" w:hRule="atLeast"/>
        </w:trPr>
        <w:tc>
          <w:tcPr>
            <w:tcW w:w="12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项目大类</w:t>
            </w:r>
          </w:p>
        </w:tc>
        <w:tc>
          <w:tcPr>
            <w:tcW w:w="19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项目名称</w:t>
            </w:r>
          </w:p>
        </w:tc>
        <w:tc>
          <w:tcPr>
            <w:tcW w:w="172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数量（次/个）</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单价（元）</w:t>
            </w:r>
          </w:p>
        </w:tc>
        <w:tc>
          <w:tcPr>
            <w:tcW w:w="175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合计（万元）</w:t>
            </w:r>
          </w:p>
        </w:tc>
      </w:tr>
      <w:tr>
        <w:tblPrEx>
          <w:tblCellMar>
            <w:top w:w="0" w:type="dxa"/>
            <w:left w:w="108" w:type="dxa"/>
            <w:bottom w:w="0" w:type="dxa"/>
            <w:right w:w="108" w:type="dxa"/>
          </w:tblCellMar>
        </w:tblPrEx>
        <w:trPr>
          <w:trHeight w:val="359" w:hRule="atLeast"/>
        </w:trPr>
        <w:tc>
          <w:tcPr>
            <w:tcW w:w="1246" w:type="dxa"/>
            <w:vMerge w:val="restart"/>
            <w:tcBorders>
              <w:top w:val="single" w:color="auto" w:sz="8" w:space="0"/>
              <w:left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商户运维</w:t>
            </w:r>
          </w:p>
        </w:tc>
        <w:tc>
          <w:tcPr>
            <w:tcW w:w="190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商户运维服务</w:t>
            </w:r>
          </w:p>
        </w:tc>
        <w:tc>
          <w:tcPr>
            <w:tcW w:w="172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44294</w:t>
            </w:r>
          </w:p>
        </w:tc>
        <w:tc>
          <w:tcPr>
            <w:tcW w:w="140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46</w:t>
            </w:r>
          </w:p>
        </w:tc>
        <w:tc>
          <w:tcPr>
            <w:tcW w:w="175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203.75</w:t>
            </w:r>
          </w:p>
        </w:tc>
      </w:tr>
      <w:tr>
        <w:tblPrEx>
          <w:tblCellMar>
            <w:top w:w="0" w:type="dxa"/>
            <w:left w:w="108" w:type="dxa"/>
            <w:bottom w:w="0" w:type="dxa"/>
            <w:right w:w="108" w:type="dxa"/>
          </w:tblCellMar>
        </w:tblPrEx>
        <w:trPr>
          <w:trHeight w:val="372" w:hRule="atLeast"/>
        </w:trPr>
        <w:tc>
          <w:tcPr>
            <w:tcW w:w="1246" w:type="dxa"/>
            <w:vMerge w:val="continue"/>
            <w:tcBorders>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p>
        </w:tc>
        <w:tc>
          <w:tcPr>
            <w:tcW w:w="1903" w:type="dxa"/>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商户综合事务</w:t>
            </w:r>
          </w:p>
        </w:tc>
        <w:tc>
          <w:tcPr>
            <w:tcW w:w="1724" w:type="dxa"/>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35900</w:t>
            </w:r>
          </w:p>
        </w:tc>
        <w:tc>
          <w:tcPr>
            <w:tcW w:w="1409" w:type="dxa"/>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22</w:t>
            </w:r>
          </w:p>
        </w:tc>
        <w:tc>
          <w:tcPr>
            <w:tcW w:w="1751" w:type="dxa"/>
            <w:tcBorders>
              <w:top w:val="single" w:color="auto" w:sz="8" w:space="0"/>
              <w:left w:val="single" w:color="auto" w:sz="8" w:space="0"/>
              <w:bottom w:val="single" w:color="auto" w:sz="8" w:space="0"/>
              <w:right w:val="single" w:color="auto" w:sz="8" w:space="0"/>
            </w:tcBorders>
            <w:noWrap/>
            <w:vAlign w:val="center"/>
          </w:tcPr>
          <w:p>
            <w:pPr>
              <w:widowControl/>
              <w:spacing w:line="240" w:lineRule="exact"/>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78.98</w:t>
            </w:r>
          </w:p>
        </w:tc>
      </w:tr>
      <w:tr>
        <w:tblPrEx>
          <w:tblCellMar>
            <w:top w:w="0" w:type="dxa"/>
            <w:left w:w="108" w:type="dxa"/>
            <w:bottom w:w="0" w:type="dxa"/>
            <w:right w:w="108" w:type="dxa"/>
          </w:tblCellMar>
        </w:tblPrEx>
        <w:trPr>
          <w:trHeight w:val="287" w:hRule="atLeast"/>
        </w:trPr>
        <w:tc>
          <w:tcPr>
            <w:tcW w:w="1246"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商户辅导支持</w:t>
            </w:r>
          </w:p>
        </w:tc>
        <w:tc>
          <w:tcPr>
            <w:tcW w:w="190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营销活动</w:t>
            </w:r>
          </w:p>
        </w:tc>
        <w:tc>
          <w:tcPr>
            <w:tcW w:w="172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175</w:t>
            </w:r>
          </w:p>
        </w:tc>
        <w:tc>
          <w:tcPr>
            <w:tcW w:w="140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2500</w:t>
            </w:r>
          </w:p>
        </w:tc>
        <w:tc>
          <w:tcPr>
            <w:tcW w:w="175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43.75</w:t>
            </w:r>
          </w:p>
        </w:tc>
      </w:tr>
      <w:tr>
        <w:tblPrEx>
          <w:tblCellMar>
            <w:top w:w="0" w:type="dxa"/>
            <w:left w:w="108" w:type="dxa"/>
            <w:bottom w:w="0" w:type="dxa"/>
            <w:right w:w="108" w:type="dxa"/>
          </w:tblCellMar>
        </w:tblPrEx>
        <w:trPr>
          <w:trHeight w:val="287" w:hRule="atLeast"/>
        </w:trPr>
        <w:tc>
          <w:tcPr>
            <w:tcW w:w="1246"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p>
        </w:tc>
        <w:tc>
          <w:tcPr>
            <w:tcW w:w="190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项目（新增）</w:t>
            </w:r>
          </w:p>
        </w:tc>
        <w:tc>
          <w:tcPr>
            <w:tcW w:w="172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66</w:t>
            </w:r>
          </w:p>
        </w:tc>
        <w:tc>
          <w:tcPr>
            <w:tcW w:w="140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2500</w:t>
            </w:r>
          </w:p>
        </w:tc>
        <w:tc>
          <w:tcPr>
            <w:tcW w:w="175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16.50</w:t>
            </w:r>
          </w:p>
        </w:tc>
      </w:tr>
      <w:tr>
        <w:tblPrEx>
          <w:tblCellMar>
            <w:top w:w="0" w:type="dxa"/>
            <w:left w:w="108" w:type="dxa"/>
            <w:bottom w:w="0" w:type="dxa"/>
            <w:right w:w="108" w:type="dxa"/>
          </w:tblCellMar>
        </w:tblPrEx>
        <w:trPr>
          <w:trHeight w:val="287" w:hRule="atLeast"/>
        </w:trPr>
        <w:tc>
          <w:tcPr>
            <w:tcW w:w="1246"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p>
        </w:tc>
        <w:tc>
          <w:tcPr>
            <w:tcW w:w="190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项目（存量）</w:t>
            </w:r>
          </w:p>
        </w:tc>
        <w:tc>
          <w:tcPr>
            <w:tcW w:w="172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75</w:t>
            </w:r>
          </w:p>
        </w:tc>
        <w:tc>
          <w:tcPr>
            <w:tcW w:w="140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2000</w:t>
            </w:r>
          </w:p>
        </w:tc>
        <w:tc>
          <w:tcPr>
            <w:tcW w:w="175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15.00</w:t>
            </w:r>
          </w:p>
        </w:tc>
      </w:tr>
      <w:tr>
        <w:tblPrEx>
          <w:tblCellMar>
            <w:top w:w="0" w:type="dxa"/>
            <w:left w:w="108" w:type="dxa"/>
            <w:bottom w:w="0" w:type="dxa"/>
            <w:right w:w="108" w:type="dxa"/>
          </w:tblCellMar>
        </w:tblPrEx>
        <w:trPr>
          <w:trHeight w:val="287" w:hRule="atLeast"/>
        </w:trPr>
        <w:tc>
          <w:tcPr>
            <w:tcW w:w="314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kern w:val="0"/>
                <w:sz w:val="24"/>
                <w:szCs w:val="24"/>
                <w:highlight w:val="none"/>
              </w:rPr>
              <w:t>每年预算费用合计</w:t>
            </w:r>
          </w:p>
        </w:tc>
        <w:tc>
          <w:tcPr>
            <w:tcW w:w="172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p>
        </w:tc>
        <w:tc>
          <w:tcPr>
            <w:tcW w:w="140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p>
        </w:tc>
        <w:tc>
          <w:tcPr>
            <w:tcW w:w="175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357.98</w:t>
            </w:r>
          </w:p>
        </w:tc>
      </w:tr>
      <w:tr>
        <w:tblPrEx>
          <w:tblCellMar>
            <w:top w:w="0" w:type="dxa"/>
            <w:left w:w="108" w:type="dxa"/>
            <w:bottom w:w="0" w:type="dxa"/>
            <w:right w:w="108" w:type="dxa"/>
          </w:tblCellMar>
        </w:tblPrEx>
        <w:trPr>
          <w:trHeight w:val="287" w:hRule="atLeast"/>
        </w:trPr>
        <w:tc>
          <w:tcPr>
            <w:tcW w:w="3149"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kern w:val="0"/>
                <w:sz w:val="24"/>
                <w:szCs w:val="24"/>
                <w:highlight w:val="none"/>
              </w:rPr>
              <w:t>两年预算合计</w:t>
            </w:r>
          </w:p>
        </w:tc>
        <w:tc>
          <w:tcPr>
            <w:tcW w:w="172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p>
        </w:tc>
        <w:tc>
          <w:tcPr>
            <w:tcW w:w="140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p>
        </w:tc>
        <w:tc>
          <w:tcPr>
            <w:tcW w:w="175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715.96</w:t>
            </w:r>
          </w:p>
        </w:tc>
      </w:tr>
    </w:tbl>
    <w:p>
      <w:pPr>
        <w:spacing w:line="360" w:lineRule="auto"/>
        <w:ind w:firstLine="562" w:firstLineChars="200"/>
        <w:rPr>
          <w:rFonts w:ascii="彩虹粗仿宋" w:hAnsi="宋体" w:eastAsia="彩虹粗仿宋"/>
          <w:b/>
          <w:color w:val="000000" w:themeColor="text1"/>
          <w:sz w:val="28"/>
          <w:szCs w:val="28"/>
          <w:highlight w:val="none"/>
          <w14:textFill>
            <w14:solidFill>
              <w14:schemeClr w14:val="tx1"/>
            </w14:solidFill>
          </w14:textFill>
        </w:rPr>
      </w:pPr>
      <w:r>
        <w:rPr>
          <w:rFonts w:hint="eastAsia" w:ascii="彩虹粗仿宋" w:hAnsi="宋体" w:eastAsia="彩虹粗仿宋"/>
          <w:b/>
          <w:color w:val="000000" w:themeColor="text1"/>
          <w:sz w:val="28"/>
          <w:szCs w:val="28"/>
          <w:highlight w:val="none"/>
          <w14:textFill>
            <w14:solidFill>
              <w14:schemeClr w14:val="tx1"/>
            </w14:solidFill>
          </w14:textFill>
        </w:rPr>
        <w:t>2.POS商户（信用卡部</w:t>
      </w:r>
      <w:bookmarkStart w:id="0" w:name="_GoBack"/>
      <w:bookmarkEnd w:id="0"/>
      <w:r>
        <w:rPr>
          <w:rFonts w:hint="eastAsia" w:ascii="彩虹粗仿宋" w:hAnsi="宋体" w:eastAsia="彩虹粗仿宋"/>
          <w:b/>
          <w:color w:val="000000" w:themeColor="text1"/>
          <w:sz w:val="28"/>
          <w:szCs w:val="28"/>
          <w:highlight w:val="none"/>
          <w14:textFill>
            <w14:solidFill>
              <w14:schemeClr w14:val="tx1"/>
            </w14:solidFill>
          </w14:textFill>
        </w:rPr>
        <w:t>）每年费用不超过125万元，项目总费用预算不超过250万元。</w:t>
      </w:r>
    </w:p>
    <w:tbl>
      <w:tblPr>
        <w:tblStyle w:val="5"/>
        <w:tblW w:w="7989" w:type="dxa"/>
        <w:tblInd w:w="0" w:type="dxa"/>
        <w:tblLayout w:type="fixed"/>
        <w:tblCellMar>
          <w:top w:w="0" w:type="dxa"/>
          <w:left w:w="108" w:type="dxa"/>
          <w:bottom w:w="0" w:type="dxa"/>
          <w:right w:w="108" w:type="dxa"/>
        </w:tblCellMar>
      </w:tblPr>
      <w:tblGrid>
        <w:gridCol w:w="1944"/>
        <w:gridCol w:w="2756"/>
        <w:gridCol w:w="944"/>
        <w:gridCol w:w="1167"/>
        <w:gridCol w:w="1178"/>
      </w:tblGrid>
      <w:tr>
        <w:tblPrEx>
          <w:tblCellMar>
            <w:top w:w="0" w:type="dxa"/>
            <w:left w:w="108" w:type="dxa"/>
            <w:bottom w:w="0" w:type="dxa"/>
            <w:right w:w="108" w:type="dxa"/>
          </w:tblCellMar>
        </w:tblPrEx>
        <w:trPr>
          <w:trHeight w:val="547" w:hRule="atLeast"/>
        </w:trPr>
        <w:tc>
          <w:tcPr>
            <w:tcW w:w="7989"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b/>
                <w:bCs/>
                <w:kern w:val="0"/>
                <w:sz w:val="24"/>
                <w:szCs w:val="24"/>
                <w:highlight w:val="none"/>
              </w:rPr>
            </w:pPr>
            <w:r>
              <w:rPr>
                <w:rFonts w:hint="eastAsia" w:ascii="彩虹粗仿宋" w:hAnsi="彩虹粗仿宋" w:eastAsia="彩虹粗仿宋" w:cs="彩虹粗仿宋"/>
                <w:b/>
                <w:bCs/>
                <w:kern w:val="0"/>
                <w:sz w:val="24"/>
                <w:szCs w:val="24"/>
                <w:highlight w:val="none"/>
              </w:rPr>
              <w:t>2026-2028年度信用卡业务部商户运维服务外包项目预算情况</w:t>
            </w:r>
          </w:p>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b/>
                <w:bCs/>
                <w:color w:val="000000"/>
                <w:kern w:val="0"/>
                <w:sz w:val="24"/>
                <w:szCs w:val="24"/>
                <w:highlight w:val="none"/>
              </w:rPr>
              <w:t>（单位：次，元/次，万/年）</w:t>
            </w:r>
          </w:p>
        </w:tc>
      </w:tr>
      <w:tr>
        <w:tblPrEx>
          <w:tblCellMar>
            <w:top w:w="0" w:type="dxa"/>
            <w:left w:w="108" w:type="dxa"/>
            <w:bottom w:w="0" w:type="dxa"/>
            <w:right w:w="108" w:type="dxa"/>
          </w:tblCellMar>
        </w:tblPrEx>
        <w:trPr>
          <w:trHeight w:val="730" w:hRule="atLeast"/>
        </w:trPr>
        <w:tc>
          <w:tcPr>
            <w:tcW w:w="19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项目大类</w:t>
            </w:r>
          </w:p>
        </w:tc>
        <w:tc>
          <w:tcPr>
            <w:tcW w:w="275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项目名称</w:t>
            </w:r>
          </w:p>
        </w:tc>
        <w:tc>
          <w:tcPr>
            <w:tcW w:w="9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数量</w:t>
            </w:r>
          </w:p>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（次）</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单价（元）</w:t>
            </w:r>
          </w:p>
        </w:tc>
        <w:tc>
          <w:tcPr>
            <w:tcW w:w="117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合计</w:t>
            </w:r>
          </w:p>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b/>
                <w:bCs/>
                <w:kern w:val="0"/>
                <w:sz w:val="24"/>
                <w:szCs w:val="24"/>
                <w:highlight w:val="none"/>
              </w:rPr>
              <w:t>（万元）</w:t>
            </w:r>
          </w:p>
        </w:tc>
      </w:tr>
      <w:tr>
        <w:tblPrEx>
          <w:tblCellMar>
            <w:top w:w="0" w:type="dxa"/>
            <w:left w:w="108" w:type="dxa"/>
            <w:bottom w:w="0" w:type="dxa"/>
            <w:right w:w="108" w:type="dxa"/>
          </w:tblCellMar>
        </w:tblPrEx>
        <w:trPr>
          <w:trHeight w:val="336" w:hRule="atLeast"/>
        </w:trPr>
        <w:tc>
          <w:tcPr>
            <w:tcW w:w="1944"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商户运维</w:t>
            </w:r>
          </w:p>
        </w:tc>
        <w:tc>
          <w:tcPr>
            <w:tcW w:w="275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POS商户运维服务</w:t>
            </w:r>
          </w:p>
        </w:tc>
        <w:tc>
          <w:tcPr>
            <w:tcW w:w="9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30000</w:t>
            </w:r>
          </w:p>
        </w:tc>
        <w:tc>
          <w:tcPr>
            <w:tcW w:w="116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27</w:t>
            </w:r>
          </w:p>
        </w:tc>
        <w:tc>
          <w:tcPr>
            <w:tcW w:w="117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81.00</w:t>
            </w:r>
          </w:p>
        </w:tc>
      </w:tr>
      <w:tr>
        <w:tblPrEx>
          <w:tblCellMar>
            <w:top w:w="0" w:type="dxa"/>
            <w:left w:w="108" w:type="dxa"/>
            <w:bottom w:w="0" w:type="dxa"/>
            <w:right w:w="108" w:type="dxa"/>
          </w:tblCellMar>
        </w:tblPrEx>
        <w:trPr>
          <w:trHeight w:val="350" w:hRule="atLeast"/>
        </w:trPr>
        <w:tc>
          <w:tcPr>
            <w:tcW w:w="1944"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p>
        </w:tc>
        <w:tc>
          <w:tcPr>
            <w:tcW w:w="2756"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商户综合事务</w:t>
            </w:r>
          </w:p>
        </w:tc>
        <w:tc>
          <w:tcPr>
            <w:tcW w:w="9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20000</w:t>
            </w:r>
          </w:p>
        </w:tc>
        <w:tc>
          <w:tcPr>
            <w:tcW w:w="116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22</w:t>
            </w:r>
          </w:p>
        </w:tc>
        <w:tc>
          <w:tcPr>
            <w:tcW w:w="117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44.00</w:t>
            </w:r>
          </w:p>
        </w:tc>
      </w:tr>
      <w:tr>
        <w:tblPrEx>
          <w:tblCellMar>
            <w:top w:w="0" w:type="dxa"/>
            <w:left w:w="108" w:type="dxa"/>
            <w:bottom w:w="0" w:type="dxa"/>
            <w:right w:w="108" w:type="dxa"/>
          </w:tblCellMar>
        </w:tblPrEx>
        <w:trPr>
          <w:trHeight w:val="329" w:hRule="atLeast"/>
        </w:trPr>
        <w:tc>
          <w:tcPr>
            <w:tcW w:w="470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每年预算费用合计</w:t>
            </w:r>
          </w:p>
        </w:tc>
        <w:tc>
          <w:tcPr>
            <w:tcW w:w="9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p>
        </w:tc>
        <w:tc>
          <w:tcPr>
            <w:tcW w:w="116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p>
        </w:tc>
        <w:tc>
          <w:tcPr>
            <w:tcW w:w="117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125</w:t>
            </w:r>
          </w:p>
        </w:tc>
      </w:tr>
      <w:tr>
        <w:tblPrEx>
          <w:tblCellMar>
            <w:top w:w="0" w:type="dxa"/>
            <w:left w:w="108" w:type="dxa"/>
            <w:bottom w:w="0" w:type="dxa"/>
            <w:right w:w="108" w:type="dxa"/>
          </w:tblCellMar>
        </w:tblPrEx>
        <w:trPr>
          <w:trHeight w:val="318" w:hRule="atLeast"/>
        </w:trPr>
        <w:tc>
          <w:tcPr>
            <w:tcW w:w="4700"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两年预算合计</w:t>
            </w:r>
          </w:p>
        </w:tc>
        <w:tc>
          <w:tcPr>
            <w:tcW w:w="9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p>
        </w:tc>
        <w:tc>
          <w:tcPr>
            <w:tcW w:w="116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p>
        </w:tc>
        <w:tc>
          <w:tcPr>
            <w:tcW w:w="117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彩虹粗仿宋" w:hAnsi="彩虹粗仿宋" w:eastAsia="彩虹粗仿宋" w:cs="彩虹粗仿宋"/>
                <w:kern w:val="0"/>
                <w:sz w:val="24"/>
                <w:szCs w:val="24"/>
                <w:highlight w:val="none"/>
              </w:rPr>
            </w:pPr>
            <w:r>
              <w:rPr>
                <w:rFonts w:hint="eastAsia" w:ascii="彩虹粗仿宋" w:hAnsi="彩虹粗仿宋" w:eastAsia="彩虹粗仿宋" w:cs="彩虹粗仿宋"/>
                <w:kern w:val="0"/>
                <w:sz w:val="24"/>
                <w:szCs w:val="24"/>
                <w:highlight w:val="none"/>
              </w:rPr>
              <w:t>250</w:t>
            </w:r>
          </w:p>
        </w:tc>
      </w:tr>
    </w:tbl>
    <w:p>
      <w:pPr>
        <w:spacing w:line="360" w:lineRule="auto"/>
        <w:ind w:firstLine="562" w:firstLineChars="200"/>
        <w:rPr>
          <w:rFonts w:ascii="彩虹粗仿宋" w:hAnsi="彩虹粗仿宋" w:eastAsia="彩虹粗仿宋" w:cs="彩虹粗仿宋"/>
          <w:b/>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b/>
          <w:color w:val="000000" w:themeColor="text1"/>
          <w:sz w:val="28"/>
          <w:szCs w:val="28"/>
          <w:highlight w:val="none"/>
          <w14:textFill>
            <w14:solidFill>
              <w14:schemeClr w14:val="tx1"/>
            </w14:solidFill>
          </w14:textFill>
        </w:rPr>
        <w:t>七、服务供应安排</w:t>
      </w:r>
    </w:p>
    <w:p>
      <w:pPr>
        <w:spacing w:line="360" w:lineRule="auto"/>
        <w:ind w:firstLine="560" w:firstLineChars="20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1.供应商应承诺在采购中选通知发出之日起的5个工作日内，人员可以到位进行作业。</w:t>
      </w:r>
    </w:p>
    <w:p>
      <w:pPr>
        <w:spacing w:line="360" w:lineRule="auto"/>
        <w:ind w:firstLine="560" w:firstLineChars="200"/>
        <w:rPr>
          <w:rFonts w:ascii="彩虹粗仿宋" w:hAnsi="彩虹粗仿宋" w:eastAsia="彩虹粗仿宋" w:cs="彩虹粗仿宋"/>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color w:val="000000" w:themeColor="text1"/>
          <w:sz w:val="28"/>
          <w:szCs w:val="28"/>
          <w:highlight w:val="none"/>
          <w14:textFill>
            <w14:solidFill>
              <w14:schemeClr w14:val="tx1"/>
            </w14:solidFill>
          </w14:textFill>
        </w:rPr>
        <w:t>2.双方确认的合同金额为本外包项目包干费用，无论</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是否根据</w:t>
      </w:r>
      <w:r>
        <w:rPr>
          <w:rFonts w:hint="eastAsia" w:ascii="彩虹粗仿宋" w:hAnsi="彩虹粗仿宋" w:eastAsia="彩虹粗仿宋" w:cs="彩虹粗仿宋"/>
          <w:color w:val="000000" w:themeColor="text1"/>
          <w:sz w:val="28"/>
          <w:szCs w:val="28"/>
          <w:highlight w:val="none"/>
          <w:lang w:val="en-US"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要求而进行加班，也无论</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为履行本合同项下服务而需支付任何费用，</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招标人</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均无需另行向</w:t>
      </w:r>
      <w:r>
        <w:rPr>
          <w:rFonts w:hint="eastAsia" w:ascii="彩虹粗仿宋" w:hAnsi="彩虹粗仿宋" w:eastAsia="彩虹粗仿宋" w:cs="彩虹粗仿宋"/>
          <w:color w:val="000000" w:themeColor="text1"/>
          <w:sz w:val="28"/>
          <w:szCs w:val="28"/>
          <w:highlight w:val="none"/>
          <w:lang w:eastAsia="zh-CN"/>
          <w14:textFill>
            <w14:solidFill>
              <w14:schemeClr w14:val="tx1"/>
            </w14:solidFill>
          </w14:textFill>
        </w:rPr>
        <w:t>中标供应商</w:t>
      </w:r>
      <w:r>
        <w:rPr>
          <w:rFonts w:hint="eastAsia" w:ascii="彩虹粗仿宋" w:hAnsi="彩虹粗仿宋" w:eastAsia="彩虹粗仿宋" w:cs="彩虹粗仿宋"/>
          <w:color w:val="000000" w:themeColor="text1"/>
          <w:sz w:val="28"/>
          <w:szCs w:val="28"/>
          <w:highlight w:val="none"/>
          <w14:textFill>
            <w14:solidFill>
              <w14:schemeClr w14:val="tx1"/>
            </w14:solidFill>
          </w14:textFill>
        </w:rPr>
        <w:t>支付加班费及任何其他费用。</w:t>
      </w:r>
    </w:p>
    <w:p>
      <w:pPr>
        <w:spacing w:line="360" w:lineRule="auto"/>
        <w:ind w:firstLine="562" w:firstLineChars="200"/>
        <w:rPr>
          <w:rFonts w:ascii="彩虹粗仿宋" w:hAnsi="彩虹粗仿宋" w:eastAsia="彩虹粗仿宋" w:cs="彩虹粗仿宋"/>
          <w:b/>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b/>
          <w:color w:val="000000" w:themeColor="text1"/>
          <w:sz w:val="28"/>
          <w:szCs w:val="28"/>
          <w:highlight w:val="none"/>
          <w14:textFill>
            <w14:solidFill>
              <w14:schemeClr w14:val="tx1"/>
            </w14:solidFill>
          </w14:textFill>
        </w:rPr>
        <w:t>八、款项支付要求</w:t>
      </w:r>
    </w:p>
    <w:p>
      <w:pPr>
        <w:autoSpaceDE w:val="0"/>
        <w:autoSpaceDN w:val="0"/>
        <w:adjustRightInd w:val="0"/>
        <w:spacing w:line="580" w:lineRule="exact"/>
        <w:ind w:firstLine="560" w:firstLineChars="200"/>
        <w:rPr>
          <w:rFonts w:hint="eastAsia" w:ascii="彩虹粗仿宋" w:hAnsi="彩虹粗仿宋" w:eastAsia="彩虹粗仿宋" w:cs="彩虹粗仿宋"/>
          <w:b w:val="0"/>
          <w:color w:val="000000"/>
          <w:sz w:val="28"/>
          <w:szCs w:val="28"/>
          <w:highlight w:val="none"/>
          <w:lang w:val="en-US" w:eastAsia="zh-CN"/>
        </w:rPr>
      </w:pPr>
      <w:r>
        <w:rPr>
          <w:rFonts w:hint="eastAsia" w:ascii="彩虹粗仿宋" w:hAnsi="彩虹粗仿宋" w:eastAsia="彩虹粗仿宋" w:cs="彩虹粗仿宋"/>
          <w:b w:val="0"/>
          <w:color w:val="000000"/>
          <w:sz w:val="28"/>
          <w:szCs w:val="28"/>
          <w:highlight w:val="none"/>
          <w:lang w:val="en-US" w:eastAsia="zh-CN"/>
        </w:rPr>
        <w:t>以招标文件为准。</w:t>
      </w:r>
    </w:p>
    <w:p>
      <w:pPr>
        <w:spacing w:line="360" w:lineRule="auto"/>
        <w:ind w:firstLine="562" w:firstLineChars="200"/>
        <w:rPr>
          <w:rFonts w:ascii="彩虹粗仿宋" w:hAnsi="彩虹粗仿宋" w:eastAsia="彩虹粗仿宋" w:cs="彩虹粗仿宋"/>
          <w:b/>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b/>
          <w:color w:val="000000" w:themeColor="text1"/>
          <w:sz w:val="28"/>
          <w:szCs w:val="28"/>
          <w:highlight w:val="none"/>
          <w14:textFill>
            <w14:solidFill>
              <w14:schemeClr w14:val="tx1"/>
            </w14:solidFill>
          </w14:textFill>
        </w:rPr>
        <w:t>九、售后服务要求</w:t>
      </w:r>
    </w:p>
    <w:p>
      <w:pPr>
        <w:autoSpaceDE w:val="0"/>
        <w:autoSpaceDN w:val="0"/>
        <w:adjustRightInd w:val="0"/>
        <w:spacing w:line="580" w:lineRule="exact"/>
        <w:ind w:firstLine="560" w:firstLineChars="200"/>
        <w:rPr>
          <w:rFonts w:ascii="彩虹粗仿宋" w:hAnsi="彩虹粗仿宋" w:eastAsia="彩虹粗仿宋" w:cs="彩虹粗仿宋"/>
          <w:color w:val="000000"/>
          <w:sz w:val="28"/>
          <w:szCs w:val="28"/>
          <w:highlight w:val="none"/>
        </w:rPr>
      </w:pPr>
      <w:r>
        <w:rPr>
          <w:rFonts w:hint="eastAsia" w:ascii="彩虹粗仿宋" w:hAnsi="彩虹粗仿宋" w:eastAsia="彩虹粗仿宋" w:cs="彩虹粗仿宋"/>
          <w:color w:val="000000"/>
          <w:sz w:val="28"/>
          <w:szCs w:val="28"/>
          <w:highlight w:val="none"/>
          <w:lang w:eastAsia="zh-CN"/>
        </w:rPr>
        <w:t>中标供应商</w:t>
      </w:r>
      <w:r>
        <w:rPr>
          <w:rFonts w:hint="eastAsia" w:ascii="彩虹粗仿宋" w:hAnsi="彩虹粗仿宋" w:eastAsia="彩虹粗仿宋" w:cs="彩虹粗仿宋"/>
          <w:color w:val="000000"/>
          <w:sz w:val="28"/>
          <w:szCs w:val="28"/>
          <w:highlight w:val="none"/>
        </w:rPr>
        <w:t>在协议终止按协议要求返还包含保密信息的文件和资料，包括有关复印件或摘要，无法返还的信息应及时销毁，协议另有约定的除外。在合作关系终止后，</w:t>
      </w:r>
      <w:r>
        <w:rPr>
          <w:rFonts w:hint="eastAsia" w:ascii="彩虹粗仿宋" w:hAnsi="彩虹粗仿宋" w:eastAsia="彩虹粗仿宋" w:cs="彩虹粗仿宋"/>
          <w:color w:val="000000"/>
          <w:sz w:val="28"/>
          <w:szCs w:val="28"/>
          <w:highlight w:val="none"/>
          <w:lang w:val="en-US" w:eastAsia="zh-CN"/>
        </w:rPr>
        <w:t>中标</w:t>
      </w:r>
      <w:r>
        <w:rPr>
          <w:rFonts w:hint="eastAsia" w:ascii="彩虹粗仿宋" w:hAnsi="彩虹粗仿宋" w:eastAsia="彩虹粗仿宋" w:cs="彩虹粗仿宋"/>
          <w:color w:val="000000"/>
          <w:sz w:val="28"/>
          <w:szCs w:val="28"/>
          <w:highlight w:val="none"/>
        </w:rPr>
        <w:t>供应商不再存储</w:t>
      </w: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相关信息，保密义务不因服务的终止而终止，</w:t>
      </w:r>
      <w:r>
        <w:rPr>
          <w:rFonts w:hint="eastAsia" w:ascii="彩虹粗仿宋" w:hAnsi="彩虹粗仿宋" w:eastAsia="彩虹粗仿宋" w:cs="彩虹粗仿宋"/>
          <w:color w:val="000000"/>
          <w:sz w:val="28"/>
          <w:szCs w:val="28"/>
          <w:highlight w:val="none"/>
          <w:lang w:val="en-US" w:eastAsia="zh-CN"/>
        </w:rPr>
        <w:t>中标</w:t>
      </w:r>
      <w:r>
        <w:rPr>
          <w:rFonts w:hint="eastAsia" w:ascii="彩虹粗仿宋" w:hAnsi="彩虹粗仿宋" w:eastAsia="彩虹粗仿宋" w:cs="彩虹粗仿宋"/>
          <w:color w:val="000000"/>
          <w:sz w:val="28"/>
          <w:szCs w:val="28"/>
          <w:highlight w:val="none"/>
        </w:rPr>
        <w:t>供应商有义务协助</w:t>
      </w: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做好后续工作。</w:t>
      </w:r>
    </w:p>
    <w:p>
      <w:pPr>
        <w:spacing w:line="360" w:lineRule="auto"/>
        <w:ind w:firstLine="562" w:firstLineChars="200"/>
        <w:rPr>
          <w:rFonts w:ascii="彩虹粗仿宋" w:hAnsi="彩虹粗仿宋" w:eastAsia="彩虹粗仿宋" w:cs="彩虹粗仿宋"/>
          <w:b/>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b/>
          <w:color w:val="000000" w:themeColor="text1"/>
          <w:sz w:val="28"/>
          <w:szCs w:val="28"/>
          <w:highlight w:val="none"/>
          <w14:textFill>
            <w14:solidFill>
              <w14:schemeClr w14:val="tx1"/>
            </w14:solidFill>
          </w14:textFill>
        </w:rPr>
        <w:t>十、报价要求</w:t>
      </w:r>
    </w:p>
    <w:p>
      <w:pPr>
        <w:autoSpaceDE w:val="0"/>
        <w:autoSpaceDN w:val="0"/>
        <w:adjustRightInd w:val="0"/>
        <w:spacing w:line="580" w:lineRule="exact"/>
        <w:ind w:firstLine="560" w:firstLineChars="200"/>
        <w:rPr>
          <w:rFonts w:hint="default" w:ascii="彩虹粗仿宋" w:hAnsi="彩虹粗仿宋" w:eastAsia="彩虹粗仿宋" w:cs="彩虹粗仿宋"/>
          <w:color w:val="000000"/>
          <w:sz w:val="28"/>
          <w:szCs w:val="28"/>
          <w:highlight w:val="none"/>
          <w:lang w:val="en-US" w:eastAsia="zh-CN"/>
        </w:rPr>
      </w:pPr>
      <w:r>
        <w:rPr>
          <w:rFonts w:hint="eastAsia" w:ascii="彩虹粗仿宋" w:hAnsi="彩虹粗仿宋" w:eastAsia="彩虹粗仿宋" w:cs="彩虹粗仿宋"/>
          <w:color w:val="000000"/>
          <w:sz w:val="28"/>
          <w:szCs w:val="28"/>
          <w:highlight w:val="none"/>
        </w:rPr>
        <w:t>按招标文件要求。</w:t>
      </w:r>
    </w:p>
    <w:p>
      <w:pPr>
        <w:spacing w:line="360" w:lineRule="auto"/>
        <w:ind w:firstLine="562" w:firstLineChars="200"/>
        <w:rPr>
          <w:rFonts w:ascii="彩虹粗仿宋" w:hAnsi="彩虹粗仿宋" w:eastAsia="彩虹粗仿宋" w:cs="彩虹粗仿宋"/>
          <w:b/>
          <w:color w:val="000000" w:themeColor="text1"/>
          <w:sz w:val="28"/>
          <w:szCs w:val="28"/>
          <w:highlight w:val="none"/>
          <w14:textFill>
            <w14:solidFill>
              <w14:schemeClr w14:val="tx1"/>
            </w14:solidFill>
          </w14:textFill>
        </w:rPr>
      </w:pPr>
      <w:r>
        <w:rPr>
          <w:rFonts w:hint="eastAsia" w:ascii="彩虹粗仿宋" w:hAnsi="彩虹粗仿宋" w:eastAsia="彩虹粗仿宋" w:cs="彩虹粗仿宋"/>
          <w:b/>
          <w:color w:val="000000" w:themeColor="text1"/>
          <w:sz w:val="28"/>
          <w:szCs w:val="28"/>
          <w:highlight w:val="none"/>
          <w14:textFill>
            <w14:solidFill>
              <w14:schemeClr w14:val="tx1"/>
            </w14:solidFill>
          </w14:textFill>
        </w:rPr>
        <w:t>十一、其他要求</w:t>
      </w:r>
    </w:p>
    <w:p>
      <w:pPr>
        <w:autoSpaceDE w:val="0"/>
        <w:autoSpaceDN w:val="0"/>
        <w:adjustRightInd w:val="0"/>
        <w:spacing w:line="580" w:lineRule="exact"/>
        <w:ind w:firstLine="280" w:firstLineChars="100"/>
        <w:rPr>
          <w:rFonts w:ascii="彩虹粗仿宋" w:hAnsi="彩虹粗仿宋" w:eastAsia="彩虹粗仿宋" w:cs="彩虹粗仿宋"/>
          <w:color w:val="000000"/>
          <w:sz w:val="28"/>
          <w:szCs w:val="28"/>
          <w:highlight w:val="none"/>
        </w:rPr>
      </w:pPr>
      <w:r>
        <w:rPr>
          <w:rFonts w:hint="eastAsia" w:ascii="彩虹粗仿宋" w:hAnsi="彩虹粗仿宋" w:eastAsia="彩虹粗仿宋" w:cs="彩虹粗仿宋"/>
          <w:color w:val="000000"/>
          <w:sz w:val="28"/>
          <w:szCs w:val="28"/>
          <w:highlight w:val="none"/>
        </w:rPr>
        <w:t>（一）考核管理</w:t>
      </w:r>
    </w:p>
    <w:p>
      <w:pPr>
        <w:autoSpaceDE w:val="0"/>
        <w:autoSpaceDN w:val="0"/>
        <w:adjustRightInd w:val="0"/>
        <w:spacing w:line="580" w:lineRule="exact"/>
        <w:ind w:firstLine="560" w:firstLineChars="200"/>
        <w:rPr>
          <w:rFonts w:ascii="彩虹粗仿宋" w:hAnsi="彩虹粗仿宋" w:eastAsia="彩虹粗仿宋" w:cs="彩虹粗仿宋"/>
          <w:color w:val="000000"/>
          <w:sz w:val="28"/>
          <w:szCs w:val="28"/>
          <w:highlight w:val="none"/>
        </w:rPr>
      </w:pP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在合作过程中对合作服务商考核评价，督导其与</w:t>
      </w: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的合作内容在合约期限内合规、有效。对于综合考评较差的，</w:t>
      </w: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可对存在的问题向供应商提出警告、扣减合作费用、扣收保证金等，并减少合作内容；对于给</w:t>
      </w: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造成声誉影响、发生安全事故、转移</w:t>
      </w: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商户等行为的，</w:t>
      </w:r>
      <w:r>
        <w:rPr>
          <w:rFonts w:hint="eastAsia" w:ascii="彩虹粗仿宋" w:hAnsi="彩虹粗仿宋" w:eastAsia="彩虹粗仿宋" w:cs="彩虹粗仿宋"/>
          <w:color w:val="000000"/>
          <w:sz w:val="28"/>
          <w:szCs w:val="28"/>
          <w:highlight w:val="none"/>
          <w:lang w:eastAsia="zh-CN"/>
        </w:rPr>
        <w:t>招标人</w:t>
      </w:r>
      <w:r>
        <w:rPr>
          <w:rFonts w:hint="eastAsia" w:ascii="彩虹粗仿宋" w:hAnsi="彩虹粗仿宋" w:eastAsia="彩虹粗仿宋" w:cs="彩虹粗仿宋"/>
          <w:color w:val="000000"/>
          <w:sz w:val="28"/>
          <w:szCs w:val="28"/>
          <w:highlight w:val="none"/>
        </w:rPr>
        <w:t>将采取停止服务合作并追究相应违约责任等措施。</w:t>
      </w:r>
    </w:p>
    <w:p>
      <w:pPr>
        <w:autoSpaceDE w:val="0"/>
        <w:autoSpaceDN w:val="0"/>
        <w:adjustRightInd w:val="0"/>
        <w:spacing w:line="580" w:lineRule="exact"/>
        <w:ind w:firstLine="425" w:firstLineChars="152"/>
        <w:rPr>
          <w:rFonts w:ascii="彩虹粗仿宋" w:hAnsi="彩虹粗仿宋" w:eastAsia="彩虹粗仿宋" w:cs="彩虹粗仿宋"/>
          <w:color w:val="000000"/>
          <w:sz w:val="28"/>
          <w:szCs w:val="28"/>
          <w:highlight w:val="none"/>
        </w:rPr>
      </w:pPr>
      <w:r>
        <w:rPr>
          <w:rFonts w:hint="eastAsia" w:ascii="彩虹粗仿宋" w:hAnsi="彩虹粗仿宋" w:eastAsia="彩虹粗仿宋" w:cs="彩虹粗仿宋"/>
          <w:color w:val="000000"/>
          <w:sz w:val="28"/>
          <w:szCs w:val="28"/>
          <w:highlight w:val="none"/>
        </w:rPr>
        <w:t>（二）供应商应当承诺但不限于以下内容</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1.承诺遵守法律法规及监管机构的有关规定，遵守</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相关制度规定，并承诺赔偿因违反相关规定给</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造成的相关损失。</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2.承诺定期向</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通报外包活动的有关事项、及时向</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通报外包活动的突发性事件及解决情况。</w:t>
      </w:r>
    </w:p>
    <w:p>
      <w:pPr>
        <w:spacing w:line="360" w:lineRule="auto"/>
        <w:ind w:firstLine="560" w:firstLineChars="200"/>
        <w:rPr>
          <w:rFonts w:ascii="彩虹粗仿宋" w:hAnsi="彩虹粗仿宋" w:eastAsia="彩虹粗仿宋" w:cs="彩虹粗仿宋"/>
          <w:snapToGrid w:val="0"/>
          <w:kern w:val="0"/>
          <w:sz w:val="28"/>
          <w:szCs w:val="28"/>
          <w:highlight w:val="none"/>
        </w:rPr>
      </w:pPr>
      <w:r>
        <w:rPr>
          <w:rFonts w:hint="eastAsia" w:ascii="彩虹粗仿宋" w:hAnsi="彩虹粗仿宋" w:eastAsia="彩虹粗仿宋" w:cs="彩虹粗仿宋"/>
          <w:snapToGrid w:val="0"/>
          <w:kern w:val="0"/>
          <w:sz w:val="28"/>
          <w:szCs w:val="28"/>
          <w:highlight w:val="none"/>
        </w:rPr>
        <w:t>3.承诺在中国支付清算协会收单外包服务机构备案有效期届满前至少提前90日重新申请备案。</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4.承诺配合银行业金融机构接受银行业监督管理机构的检查。</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5.承诺保证</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商户和客户相关信息安全。当商户和客户信息不安全或商户和客户权利受到影响时，</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有权随时终止外包合同，并要求合作服务商赔偿</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、商户及客户的相关损失。承诺不得留存支付交易等信息。</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6.承诺不得以建设银行的名义开展外包协议约定事项以外的活动。</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7.承诺不从事任何转移</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商户资源的行为，否则</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有权立即终止与其合作，并要求合作服务商赔偿</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经济损失。</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8.承诺在合作关系终止后，</w:t>
      </w:r>
      <w:r>
        <w:rPr>
          <w:rFonts w:hint="eastAsia" w:ascii="彩虹粗仿宋" w:hAnsi="彩虹粗仿宋" w:eastAsia="彩虹粗仿宋" w:cs="彩虹粗仿宋"/>
          <w:snapToGrid w:val="0"/>
          <w:color w:val="000000" w:themeColor="text1"/>
          <w:kern w:val="0"/>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不再存储</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相关个人信息，保密义务不因服务的终止而终止，</w:t>
      </w:r>
      <w:r>
        <w:rPr>
          <w:rFonts w:hint="eastAsia" w:ascii="彩虹粗仿宋" w:hAnsi="彩虹粗仿宋" w:eastAsia="彩虹粗仿宋" w:cs="彩虹粗仿宋"/>
          <w:snapToGrid w:val="0"/>
          <w:color w:val="000000" w:themeColor="text1"/>
          <w:kern w:val="0"/>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有义务协助</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招标人</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做好后续工作。</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9.</w:t>
      </w:r>
      <w:r>
        <w:rPr>
          <w:rFonts w:hint="eastAsia" w:ascii="彩虹粗仿宋" w:hAnsi="彩虹粗仿宋" w:eastAsia="彩虹粗仿宋" w:cs="彩虹粗仿宋"/>
          <w:snapToGrid w:val="0"/>
          <w:color w:val="000000" w:themeColor="text1"/>
          <w:kern w:val="0"/>
          <w:sz w:val="28"/>
          <w:szCs w:val="28"/>
          <w:highlight w:val="none"/>
          <w:lang w:val="en-US" w:eastAsia="zh-CN"/>
          <w14:textFill>
            <w14:solidFill>
              <w14:schemeClr w14:val="tx1"/>
            </w14:solidFill>
          </w14:textFill>
        </w:rPr>
        <w:t>中标供应商</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不得将商户外包活动转包或变相转包。</w:t>
      </w:r>
    </w:p>
    <w:p>
      <w:pPr>
        <w:spacing w:line="360" w:lineRule="auto"/>
        <w:ind w:firstLine="560" w:firstLineChars="200"/>
        <w:rPr>
          <w:rFonts w:ascii="彩虹粗仿宋" w:hAnsi="彩虹粗仿宋" w:eastAsia="彩虹粗仿宋" w:cs="彩虹粗仿宋"/>
          <w:snapToGrid w:val="0"/>
          <w:color w:val="000000" w:themeColor="text1"/>
          <w:kern w:val="0"/>
          <w:sz w:val="28"/>
          <w:szCs w:val="28"/>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10.其他需要</w:t>
      </w:r>
      <w:r>
        <w:rPr>
          <w:rFonts w:hint="eastAsia" w:ascii="彩虹粗仿宋" w:hAnsi="彩虹粗仿宋" w:eastAsia="彩虹粗仿宋" w:cs="彩虹粗仿宋"/>
          <w:snapToGrid w:val="0"/>
          <w:color w:val="000000" w:themeColor="text1"/>
          <w:kern w:val="0"/>
          <w:sz w:val="28"/>
          <w:szCs w:val="28"/>
          <w:highlight w:val="none"/>
          <w:lang w:eastAsia="zh-CN"/>
          <w14:textFill>
            <w14:solidFill>
              <w14:schemeClr w14:val="tx1"/>
            </w14:solidFill>
          </w14:textFill>
        </w:rPr>
        <w:t>供应商</w:t>
      </w:r>
      <w:r>
        <w:rPr>
          <w:rFonts w:hint="eastAsia" w:ascii="彩虹粗仿宋" w:hAnsi="彩虹粗仿宋" w:eastAsia="彩虹粗仿宋" w:cs="彩虹粗仿宋"/>
          <w:snapToGrid w:val="0"/>
          <w:color w:val="000000" w:themeColor="text1"/>
          <w:kern w:val="0"/>
          <w:sz w:val="28"/>
          <w:szCs w:val="28"/>
          <w:highlight w:val="none"/>
          <w14:textFill>
            <w14:solidFill>
              <w14:schemeClr w14:val="tx1"/>
            </w14:solidFill>
          </w14:textFill>
        </w:rPr>
        <w:t>承诺的事项。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20D2"/>
    <w:rsid w:val="0002292F"/>
    <w:rsid w:val="000272F7"/>
    <w:rsid w:val="000376C5"/>
    <w:rsid w:val="000706B4"/>
    <w:rsid w:val="00075ABD"/>
    <w:rsid w:val="000973B8"/>
    <w:rsid w:val="000E1893"/>
    <w:rsid w:val="000F09C5"/>
    <w:rsid w:val="000F58AA"/>
    <w:rsid w:val="000F71DD"/>
    <w:rsid w:val="001317FE"/>
    <w:rsid w:val="001365B7"/>
    <w:rsid w:val="0015778C"/>
    <w:rsid w:val="001752C4"/>
    <w:rsid w:val="001A71ED"/>
    <w:rsid w:val="001B5D0B"/>
    <w:rsid w:val="001C3D63"/>
    <w:rsid w:val="001C5BA1"/>
    <w:rsid w:val="001C666E"/>
    <w:rsid w:val="001D1D45"/>
    <w:rsid w:val="001D4E6B"/>
    <w:rsid w:val="001E4B8A"/>
    <w:rsid w:val="001F26FA"/>
    <w:rsid w:val="00212751"/>
    <w:rsid w:val="00230107"/>
    <w:rsid w:val="0023044B"/>
    <w:rsid w:val="002313D6"/>
    <w:rsid w:val="00261041"/>
    <w:rsid w:val="00271F65"/>
    <w:rsid w:val="002724CF"/>
    <w:rsid w:val="00276452"/>
    <w:rsid w:val="002E2DD4"/>
    <w:rsid w:val="0030613F"/>
    <w:rsid w:val="00340A78"/>
    <w:rsid w:val="00340E94"/>
    <w:rsid w:val="003854EE"/>
    <w:rsid w:val="0039332A"/>
    <w:rsid w:val="0039739D"/>
    <w:rsid w:val="003A09C9"/>
    <w:rsid w:val="003A14B7"/>
    <w:rsid w:val="003A4A68"/>
    <w:rsid w:val="003A6BF1"/>
    <w:rsid w:val="003C6478"/>
    <w:rsid w:val="003C6CC7"/>
    <w:rsid w:val="00403FD1"/>
    <w:rsid w:val="004359A8"/>
    <w:rsid w:val="00445C00"/>
    <w:rsid w:val="00475833"/>
    <w:rsid w:val="00476895"/>
    <w:rsid w:val="00483676"/>
    <w:rsid w:val="004C10CA"/>
    <w:rsid w:val="004E5CE5"/>
    <w:rsid w:val="00504B63"/>
    <w:rsid w:val="00515FFC"/>
    <w:rsid w:val="005261E7"/>
    <w:rsid w:val="00544DDE"/>
    <w:rsid w:val="00562CE0"/>
    <w:rsid w:val="005723DF"/>
    <w:rsid w:val="00584F7E"/>
    <w:rsid w:val="005853F3"/>
    <w:rsid w:val="005B1D96"/>
    <w:rsid w:val="005B1DEA"/>
    <w:rsid w:val="005D75E4"/>
    <w:rsid w:val="005F2B23"/>
    <w:rsid w:val="00602888"/>
    <w:rsid w:val="00615B53"/>
    <w:rsid w:val="0064673A"/>
    <w:rsid w:val="00655CFA"/>
    <w:rsid w:val="00663BC1"/>
    <w:rsid w:val="006B5166"/>
    <w:rsid w:val="006C4038"/>
    <w:rsid w:val="006D44DF"/>
    <w:rsid w:val="006E552B"/>
    <w:rsid w:val="006F6C1D"/>
    <w:rsid w:val="0070232D"/>
    <w:rsid w:val="00704CC3"/>
    <w:rsid w:val="00707A20"/>
    <w:rsid w:val="00743B97"/>
    <w:rsid w:val="0074721B"/>
    <w:rsid w:val="007629DE"/>
    <w:rsid w:val="00762DC9"/>
    <w:rsid w:val="0078695E"/>
    <w:rsid w:val="007C6A4C"/>
    <w:rsid w:val="007D0F65"/>
    <w:rsid w:val="007D64C5"/>
    <w:rsid w:val="007E25A6"/>
    <w:rsid w:val="007E5D04"/>
    <w:rsid w:val="007F238E"/>
    <w:rsid w:val="007F370F"/>
    <w:rsid w:val="00807DF6"/>
    <w:rsid w:val="00816D99"/>
    <w:rsid w:val="00826D43"/>
    <w:rsid w:val="00832AF7"/>
    <w:rsid w:val="0083434A"/>
    <w:rsid w:val="00845DCC"/>
    <w:rsid w:val="00861E96"/>
    <w:rsid w:val="008A085C"/>
    <w:rsid w:val="008B0DDA"/>
    <w:rsid w:val="008D011D"/>
    <w:rsid w:val="00902232"/>
    <w:rsid w:val="009304A2"/>
    <w:rsid w:val="009360BA"/>
    <w:rsid w:val="009459F5"/>
    <w:rsid w:val="00975F23"/>
    <w:rsid w:val="009D3213"/>
    <w:rsid w:val="009E1D8C"/>
    <w:rsid w:val="009E4F09"/>
    <w:rsid w:val="009F7680"/>
    <w:rsid w:val="00A20260"/>
    <w:rsid w:val="00A25793"/>
    <w:rsid w:val="00A3307F"/>
    <w:rsid w:val="00A357CB"/>
    <w:rsid w:val="00A36252"/>
    <w:rsid w:val="00A4084C"/>
    <w:rsid w:val="00A60558"/>
    <w:rsid w:val="00A82E93"/>
    <w:rsid w:val="00A9430D"/>
    <w:rsid w:val="00AD18F4"/>
    <w:rsid w:val="00AE145A"/>
    <w:rsid w:val="00AE3235"/>
    <w:rsid w:val="00AE7A8A"/>
    <w:rsid w:val="00AF4336"/>
    <w:rsid w:val="00B1471D"/>
    <w:rsid w:val="00B17DE5"/>
    <w:rsid w:val="00B32577"/>
    <w:rsid w:val="00B3298E"/>
    <w:rsid w:val="00B54634"/>
    <w:rsid w:val="00B91A62"/>
    <w:rsid w:val="00BB14A4"/>
    <w:rsid w:val="00BB682A"/>
    <w:rsid w:val="00BC45A8"/>
    <w:rsid w:val="00BC6111"/>
    <w:rsid w:val="00BE1D7A"/>
    <w:rsid w:val="00BE2C66"/>
    <w:rsid w:val="00BE6859"/>
    <w:rsid w:val="00BF332E"/>
    <w:rsid w:val="00C03BDD"/>
    <w:rsid w:val="00C127D4"/>
    <w:rsid w:val="00C20677"/>
    <w:rsid w:val="00C241FA"/>
    <w:rsid w:val="00C252FF"/>
    <w:rsid w:val="00C35DD1"/>
    <w:rsid w:val="00C421CC"/>
    <w:rsid w:val="00C437D4"/>
    <w:rsid w:val="00C44998"/>
    <w:rsid w:val="00C53A8E"/>
    <w:rsid w:val="00C572FF"/>
    <w:rsid w:val="00C74F3E"/>
    <w:rsid w:val="00C920B6"/>
    <w:rsid w:val="00C96794"/>
    <w:rsid w:val="00CB7EC2"/>
    <w:rsid w:val="00CF26ED"/>
    <w:rsid w:val="00D026FA"/>
    <w:rsid w:val="00D16E4E"/>
    <w:rsid w:val="00D26EB2"/>
    <w:rsid w:val="00D351D8"/>
    <w:rsid w:val="00D51453"/>
    <w:rsid w:val="00D72E91"/>
    <w:rsid w:val="00D74261"/>
    <w:rsid w:val="00D84A7D"/>
    <w:rsid w:val="00DB04B8"/>
    <w:rsid w:val="00DC06EB"/>
    <w:rsid w:val="00DD344A"/>
    <w:rsid w:val="00DE1902"/>
    <w:rsid w:val="00DE1A17"/>
    <w:rsid w:val="00DE3965"/>
    <w:rsid w:val="00DF0F2B"/>
    <w:rsid w:val="00E03F27"/>
    <w:rsid w:val="00E275C5"/>
    <w:rsid w:val="00E73CB9"/>
    <w:rsid w:val="00E73EA9"/>
    <w:rsid w:val="00E94A14"/>
    <w:rsid w:val="00E9604D"/>
    <w:rsid w:val="00F02CE6"/>
    <w:rsid w:val="00F11920"/>
    <w:rsid w:val="00F16867"/>
    <w:rsid w:val="00F174D9"/>
    <w:rsid w:val="00F40DDC"/>
    <w:rsid w:val="00F54EBA"/>
    <w:rsid w:val="00F61048"/>
    <w:rsid w:val="00F7197E"/>
    <w:rsid w:val="00F73EF1"/>
    <w:rsid w:val="00FA1989"/>
    <w:rsid w:val="00FA4B2C"/>
    <w:rsid w:val="00FE240F"/>
    <w:rsid w:val="01CF6706"/>
    <w:rsid w:val="1D3F43B5"/>
    <w:rsid w:val="25DF38A3"/>
    <w:rsid w:val="3B5F09FC"/>
    <w:rsid w:val="3B9F76AF"/>
    <w:rsid w:val="40C73C18"/>
    <w:rsid w:val="413F2E8C"/>
    <w:rsid w:val="4FD96462"/>
    <w:rsid w:val="51F662E0"/>
    <w:rsid w:val="531E2A67"/>
    <w:rsid w:val="59EB0D1D"/>
    <w:rsid w:val="5B5FA21F"/>
    <w:rsid w:val="5C7D391E"/>
    <w:rsid w:val="5E105FC9"/>
    <w:rsid w:val="5FF06B15"/>
    <w:rsid w:val="65BB94F3"/>
    <w:rsid w:val="799844A5"/>
    <w:rsid w:val="7A778173"/>
    <w:rsid w:val="7BFA4FC0"/>
    <w:rsid w:val="BEDE5566"/>
    <w:rsid w:val="CBBDAAC1"/>
    <w:rsid w:val="FBA97467"/>
    <w:rsid w:val="FF7F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977</Words>
  <Characters>5575</Characters>
  <Lines>46</Lines>
  <Paragraphs>13</Paragraphs>
  <TotalTime>0</TotalTime>
  <ScaleCrop>false</ScaleCrop>
  <LinksUpToDate>false</LinksUpToDate>
  <CharactersWithSpaces>6539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2026-04-03T02:35:00Z</dcterms:created>
  <dc:creator>Apache POI</dc:creator>
  <cp:lastModifiedBy>Administrator</cp:lastModifiedBy>
  <cp:lastPrinted>2024-05-31T01:41:00Z</cp:lastPrinted>
  <dcterms:modified xsi:type="dcterms:W3CDTF">2026-04-10T06:38:20Z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F17C6879939345BC96042FBFAB431763_13</vt:lpwstr>
  </property>
</Properties>
</file>